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jc w:val="center"/>
        <w:textAlignment w:val="auto"/>
        <w:outlineLvl w:val="9"/>
        <w:rPr>
          <w:rFonts w:hint="eastAsia" w:asciiTheme="majorEastAsia" w:hAnsiTheme="majorEastAsia" w:eastAsiaTheme="majorEastAsia" w:cstheme="majorEastAsia"/>
          <w:color w:val="555555"/>
          <w:sz w:val="44"/>
          <w:szCs w:val="44"/>
          <w:lang w:val="en-US"/>
        </w:rPr>
      </w:pPr>
      <w:r>
        <w:rPr>
          <w:rFonts w:hint="eastAsia" w:asciiTheme="majorEastAsia" w:hAnsiTheme="majorEastAsia" w:eastAsiaTheme="majorEastAsia" w:cstheme="majorEastAsia"/>
          <w:color w:val="555555"/>
          <w:sz w:val="44"/>
          <w:szCs w:val="44"/>
          <w:lang w:val="en-US"/>
        </w:rPr>
        <w:t>福建省审计厅关于2018年度省级预算执行和其他财政收支的审计结果公告</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right="0" w:firstLine="640" w:firstLineChars="200"/>
        <w:textAlignment w:val="auto"/>
        <w:outlineLvl w:val="9"/>
        <w:rPr>
          <w:rFonts w:hint="eastAsia" w:ascii="仿宋" w:hAnsi="仿宋" w:eastAsia="仿宋" w:cs="仿宋"/>
          <w:color w:val="555555"/>
          <w:sz w:val="32"/>
          <w:szCs w:val="32"/>
        </w:rPr>
      </w:pPr>
      <w:r>
        <w:rPr>
          <w:rFonts w:hint="eastAsia" w:ascii="仿宋" w:hAnsi="仿宋" w:eastAsia="仿宋" w:cs="仿宋"/>
          <w:color w:val="555555"/>
          <w:sz w:val="32"/>
          <w:szCs w:val="32"/>
          <w:lang w:val="en-US"/>
        </w:rPr>
        <w:t>2019</w:t>
      </w:r>
      <w:r>
        <w:rPr>
          <w:rFonts w:hint="eastAsia" w:ascii="仿宋" w:hAnsi="仿宋" w:eastAsia="仿宋" w:cs="仿宋"/>
          <w:color w:val="555555"/>
          <w:sz w:val="32"/>
          <w:szCs w:val="32"/>
        </w:rPr>
        <w:t>年</w:t>
      </w:r>
      <w:r>
        <w:rPr>
          <w:rFonts w:hint="eastAsia" w:ascii="仿宋" w:hAnsi="仿宋" w:eastAsia="仿宋" w:cs="仿宋"/>
          <w:color w:val="555555"/>
          <w:sz w:val="32"/>
          <w:szCs w:val="32"/>
          <w:lang w:val="en-US"/>
        </w:rPr>
        <w:t>7</w:t>
      </w:r>
      <w:r>
        <w:rPr>
          <w:rFonts w:hint="eastAsia" w:ascii="仿宋" w:hAnsi="仿宋" w:eastAsia="仿宋" w:cs="仿宋"/>
          <w:color w:val="555555"/>
          <w:sz w:val="32"/>
          <w:szCs w:val="32"/>
        </w:rPr>
        <w:t>月</w:t>
      </w:r>
      <w:r>
        <w:rPr>
          <w:rFonts w:hint="eastAsia" w:ascii="仿宋" w:hAnsi="仿宋" w:eastAsia="仿宋" w:cs="仿宋"/>
          <w:color w:val="555555"/>
          <w:sz w:val="32"/>
          <w:szCs w:val="32"/>
          <w:lang w:val="en-US"/>
        </w:rPr>
        <w:t>24</w:t>
      </w:r>
      <w:r>
        <w:rPr>
          <w:rFonts w:hint="eastAsia" w:ascii="仿宋" w:hAnsi="仿宋" w:eastAsia="仿宋" w:cs="仿宋"/>
          <w:color w:val="555555"/>
          <w:sz w:val="32"/>
          <w:szCs w:val="32"/>
        </w:rPr>
        <w:t>日，省审计厅厅长杨红受省人民政府委托，向省第十三届人民代表大会常务委员会第十一次会议作了《关于</w:t>
      </w:r>
      <w:r>
        <w:rPr>
          <w:rFonts w:hint="eastAsia" w:ascii="仿宋" w:hAnsi="仿宋" w:eastAsia="仿宋" w:cs="仿宋"/>
          <w:color w:val="555555"/>
          <w:sz w:val="32"/>
          <w:szCs w:val="32"/>
          <w:lang w:val="en-US"/>
        </w:rPr>
        <w:t>2018</w:t>
      </w:r>
      <w:r>
        <w:rPr>
          <w:rFonts w:hint="eastAsia" w:ascii="仿宋" w:hAnsi="仿宋" w:eastAsia="仿宋" w:cs="仿宋"/>
          <w:color w:val="555555"/>
          <w:sz w:val="32"/>
          <w:szCs w:val="32"/>
        </w:rPr>
        <w:t>年度省级预算执行和其他财政收支审计工作的报告》，现将审计结果公告如下：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640" w:firstLineChars="20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lang w:val="en-US"/>
        </w:rPr>
        <w:t>2018</w:t>
      </w:r>
      <w:r>
        <w:rPr>
          <w:rFonts w:hint="eastAsia" w:ascii="仿宋" w:hAnsi="仿宋" w:eastAsia="仿宋" w:cs="仿宋"/>
          <w:color w:val="555555"/>
          <w:sz w:val="32"/>
          <w:szCs w:val="32"/>
        </w:rPr>
        <w:t>年，在以习近平同志为核心的党中央坚强领导下，我省各级各部门树牢“四个意识”，坚定“四个自信”，坚决做到“两个维护”，深入贯彻落实党中央、国务院决策部署，落实省委、省政府工作要求，认真执行省十三届人大一次会议决议，落实省人大财经委审查意见，全力推进高质量发展落实赶超，全年经济社会发展主要目标任务圆满完成，机制活、产业优、百姓富、生态美的新福建建设迈出新步伐。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——深入推进供给侧结构性改革，营商环境持续优化。全年新增减税降费规模</w:t>
      </w:r>
      <w:r>
        <w:rPr>
          <w:rFonts w:hint="eastAsia" w:ascii="仿宋" w:hAnsi="仿宋" w:eastAsia="仿宋" w:cs="仿宋"/>
          <w:color w:val="555555"/>
          <w:sz w:val="32"/>
          <w:szCs w:val="32"/>
          <w:lang w:val="en-US"/>
        </w:rPr>
        <w:t>290</w:t>
      </w:r>
      <w:r>
        <w:rPr>
          <w:rFonts w:hint="eastAsia" w:ascii="仿宋" w:hAnsi="仿宋" w:eastAsia="仿宋" w:cs="仿宋"/>
          <w:color w:val="555555"/>
          <w:sz w:val="32"/>
          <w:szCs w:val="32"/>
        </w:rPr>
        <w:t>亿元，减轻实体经济企业负担超过</w:t>
      </w:r>
      <w:r>
        <w:rPr>
          <w:rFonts w:hint="eastAsia" w:ascii="仿宋" w:hAnsi="仿宋" w:eastAsia="仿宋" w:cs="仿宋"/>
          <w:color w:val="555555"/>
          <w:sz w:val="32"/>
          <w:szCs w:val="32"/>
          <w:lang w:val="en-US"/>
        </w:rPr>
        <w:t>700</w:t>
      </w:r>
      <w:r>
        <w:rPr>
          <w:rFonts w:hint="eastAsia" w:ascii="仿宋" w:hAnsi="仿宋" w:eastAsia="仿宋" w:cs="仿宋"/>
          <w:color w:val="555555"/>
          <w:sz w:val="32"/>
          <w:szCs w:val="32"/>
        </w:rPr>
        <w:t>亿元。设立省级纾困基金总规模</w:t>
      </w:r>
      <w:r>
        <w:rPr>
          <w:rFonts w:hint="eastAsia" w:ascii="仿宋" w:hAnsi="仿宋" w:eastAsia="仿宋" w:cs="仿宋"/>
          <w:color w:val="555555"/>
          <w:sz w:val="32"/>
          <w:szCs w:val="32"/>
          <w:lang w:val="en-US"/>
        </w:rPr>
        <w:t>150</w:t>
      </w:r>
      <w:r>
        <w:rPr>
          <w:rFonts w:hint="eastAsia" w:ascii="仿宋" w:hAnsi="仿宋" w:eastAsia="仿宋" w:cs="仿宋"/>
          <w:color w:val="555555"/>
          <w:sz w:val="32"/>
          <w:szCs w:val="32"/>
        </w:rPr>
        <w:t>亿元和纾困专项债</w:t>
      </w:r>
      <w:r>
        <w:rPr>
          <w:rFonts w:hint="eastAsia" w:ascii="仿宋" w:hAnsi="仿宋" w:eastAsia="仿宋" w:cs="仿宋"/>
          <w:color w:val="555555"/>
          <w:sz w:val="32"/>
          <w:szCs w:val="32"/>
          <w:lang w:val="en-US"/>
        </w:rPr>
        <w:t>20</w:t>
      </w:r>
      <w:r>
        <w:rPr>
          <w:rFonts w:hint="eastAsia" w:ascii="仿宋" w:hAnsi="仿宋" w:eastAsia="仿宋" w:cs="仿宋"/>
          <w:color w:val="555555"/>
          <w:sz w:val="32"/>
          <w:szCs w:val="32"/>
        </w:rPr>
        <w:t>亿元。建立新兴产业培育“三个一”机制，投放省级企业技术改造基金</w:t>
      </w:r>
      <w:r>
        <w:rPr>
          <w:rFonts w:hint="eastAsia" w:ascii="仿宋" w:hAnsi="仿宋" w:eastAsia="仿宋" w:cs="仿宋"/>
          <w:color w:val="555555"/>
          <w:sz w:val="32"/>
          <w:szCs w:val="32"/>
          <w:lang w:val="en-US"/>
        </w:rPr>
        <w:t>80</w:t>
      </w:r>
      <w:r>
        <w:rPr>
          <w:rFonts w:hint="eastAsia" w:ascii="仿宋" w:hAnsi="仿宋" w:eastAsia="仿宋" w:cs="仿宋"/>
          <w:color w:val="555555"/>
          <w:sz w:val="32"/>
          <w:szCs w:val="32"/>
        </w:rPr>
        <w:t>亿元，推进新旧动能接续转换。实施提升营商环境行动计划，“一趟不用跑”和“最多跑一趟”办理事项达</w:t>
      </w:r>
      <w:r>
        <w:rPr>
          <w:rFonts w:hint="eastAsia" w:ascii="仿宋" w:hAnsi="仿宋" w:eastAsia="仿宋" w:cs="仿宋"/>
          <w:color w:val="555555"/>
          <w:sz w:val="32"/>
          <w:szCs w:val="32"/>
          <w:lang w:val="en-US"/>
        </w:rPr>
        <w:t>86%</w:t>
      </w:r>
      <w:r>
        <w:rPr>
          <w:rFonts w:hint="eastAsia" w:ascii="仿宋" w:hAnsi="仿宋" w:eastAsia="仿宋" w:cs="仿宋"/>
          <w:color w:val="555555"/>
          <w:sz w:val="32"/>
          <w:szCs w:val="32"/>
        </w:rPr>
        <w:t>，证照分离全面推开，企业信用风险分类监管等做法推向全国。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——持续深化财税体制改革，财政绩效进一步提升。出台基本公共服务领域省与市县共同财政事权和支出责任划分改革实施方案，加快构建“三全”预算绩效管理体系。全省一般公共预算总收入和支出分别增长</w:t>
      </w:r>
      <w:r>
        <w:rPr>
          <w:rFonts w:hint="eastAsia" w:ascii="仿宋" w:hAnsi="仿宋" w:eastAsia="仿宋" w:cs="仿宋"/>
          <w:color w:val="555555"/>
          <w:sz w:val="32"/>
          <w:szCs w:val="32"/>
          <w:lang w:val="en-US"/>
        </w:rPr>
        <w:t>7.1%</w:t>
      </w:r>
      <w:r>
        <w:rPr>
          <w:rFonts w:hint="eastAsia" w:ascii="仿宋" w:hAnsi="仿宋" w:eastAsia="仿宋" w:cs="仿宋"/>
          <w:color w:val="555555"/>
          <w:sz w:val="32"/>
          <w:szCs w:val="32"/>
        </w:rPr>
        <w:t>、</w:t>
      </w:r>
      <w:r>
        <w:rPr>
          <w:rFonts w:hint="eastAsia" w:ascii="仿宋" w:hAnsi="仿宋" w:eastAsia="仿宋" w:cs="仿宋"/>
          <w:color w:val="555555"/>
          <w:sz w:val="32"/>
          <w:szCs w:val="32"/>
          <w:lang w:val="en-US"/>
        </w:rPr>
        <w:t>3.2%</w:t>
      </w:r>
      <w:r>
        <w:rPr>
          <w:rFonts w:hint="eastAsia" w:ascii="仿宋" w:hAnsi="仿宋" w:eastAsia="仿宋" w:cs="仿宋"/>
          <w:color w:val="555555"/>
          <w:sz w:val="32"/>
          <w:szCs w:val="32"/>
        </w:rPr>
        <w:t>。</w:t>
      </w:r>
      <w:r>
        <w:rPr>
          <w:rFonts w:hint="eastAsia" w:ascii="仿宋" w:hAnsi="仿宋" w:eastAsia="仿宋" w:cs="仿宋"/>
          <w:color w:val="555555"/>
          <w:sz w:val="32"/>
          <w:szCs w:val="32"/>
          <w:lang w:val="en-US"/>
        </w:rPr>
        <w:t>2018</w:t>
      </w:r>
      <w:r>
        <w:rPr>
          <w:rFonts w:hint="eastAsia" w:ascii="仿宋" w:hAnsi="仿宋" w:eastAsia="仿宋" w:cs="仿宋"/>
          <w:color w:val="555555"/>
          <w:sz w:val="32"/>
          <w:szCs w:val="32"/>
        </w:rPr>
        <w:t>年省级财政专项资金清理整合</w:t>
      </w:r>
      <w:r>
        <w:rPr>
          <w:rFonts w:hint="eastAsia" w:ascii="仿宋" w:hAnsi="仿宋" w:eastAsia="仿宋" w:cs="仿宋"/>
          <w:color w:val="555555"/>
          <w:sz w:val="32"/>
          <w:szCs w:val="32"/>
          <w:lang w:val="en-US"/>
        </w:rPr>
        <w:t>232</w:t>
      </w:r>
      <w:r>
        <w:rPr>
          <w:rFonts w:hint="eastAsia" w:ascii="仿宋" w:hAnsi="仿宋" w:eastAsia="仿宋" w:cs="仿宋"/>
          <w:color w:val="555555"/>
          <w:sz w:val="32"/>
          <w:szCs w:val="32"/>
        </w:rPr>
        <w:t>项，</w:t>
      </w:r>
      <w:r>
        <w:rPr>
          <w:rFonts w:hint="eastAsia" w:ascii="仿宋" w:hAnsi="仿宋" w:eastAsia="仿宋" w:cs="仿宋"/>
          <w:color w:val="555555"/>
          <w:sz w:val="32"/>
          <w:szCs w:val="32"/>
          <w:lang w:val="en-US"/>
        </w:rPr>
        <w:t>2019</w:t>
      </w:r>
      <w:r>
        <w:rPr>
          <w:rFonts w:hint="eastAsia" w:ascii="仿宋" w:hAnsi="仿宋" w:eastAsia="仿宋" w:cs="仿宋"/>
          <w:color w:val="555555"/>
          <w:sz w:val="32"/>
          <w:szCs w:val="32"/>
        </w:rPr>
        <w:t>年压减为</w:t>
      </w:r>
      <w:r>
        <w:rPr>
          <w:rFonts w:hint="eastAsia" w:ascii="仿宋" w:hAnsi="仿宋" w:eastAsia="仿宋" w:cs="仿宋"/>
          <w:color w:val="555555"/>
          <w:sz w:val="32"/>
          <w:szCs w:val="32"/>
          <w:lang w:val="en-US"/>
        </w:rPr>
        <w:t>204</w:t>
      </w:r>
      <w:r>
        <w:rPr>
          <w:rFonts w:hint="eastAsia" w:ascii="仿宋" w:hAnsi="仿宋" w:eastAsia="仿宋" w:cs="仿宋"/>
          <w:color w:val="555555"/>
          <w:sz w:val="32"/>
          <w:szCs w:val="32"/>
        </w:rPr>
        <w:t>项。全省清理盘活财政存量资金</w:t>
      </w:r>
      <w:r>
        <w:rPr>
          <w:rFonts w:hint="eastAsia" w:ascii="仿宋" w:hAnsi="仿宋" w:eastAsia="仿宋" w:cs="仿宋"/>
          <w:color w:val="555555"/>
          <w:sz w:val="32"/>
          <w:szCs w:val="32"/>
          <w:lang w:val="en-US"/>
        </w:rPr>
        <w:t>103</w:t>
      </w:r>
      <w:r>
        <w:rPr>
          <w:rFonts w:hint="eastAsia" w:ascii="仿宋" w:hAnsi="仿宋" w:eastAsia="仿宋" w:cs="仿宋"/>
          <w:color w:val="555555"/>
          <w:sz w:val="32"/>
          <w:szCs w:val="32"/>
        </w:rPr>
        <w:t>亿元。省级财政专项资金绩效重点评价涉及资金额同比增长</w:t>
      </w:r>
      <w:r>
        <w:rPr>
          <w:rFonts w:hint="eastAsia" w:ascii="仿宋" w:hAnsi="仿宋" w:eastAsia="仿宋" w:cs="仿宋"/>
          <w:color w:val="555555"/>
          <w:sz w:val="32"/>
          <w:szCs w:val="32"/>
          <w:lang w:val="en-US"/>
        </w:rPr>
        <w:t>236%</w:t>
      </w:r>
      <w:r>
        <w:rPr>
          <w:rFonts w:hint="eastAsia" w:ascii="仿宋" w:hAnsi="仿宋" w:eastAsia="仿宋" w:cs="仿宋"/>
          <w:color w:val="555555"/>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——全力支持打好三大攻坚战，各项任务稳步推进。强化政府债务限额管理和预算管理，全年发行债券</w:t>
      </w:r>
      <w:r>
        <w:rPr>
          <w:rFonts w:hint="eastAsia" w:ascii="仿宋" w:hAnsi="仿宋" w:eastAsia="仿宋" w:cs="仿宋"/>
          <w:color w:val="555555"/>
          <w:sz w:val="32"/>
          <w:szCs w:val="32"/>
          <w:lang w:val="en-US"/>
        </w:rPr>
        <w:t>994.01</w:t>
      </w:r>
      <w:r>
        <w:rPr>
          <w:rFonts w:hint="eastAsia" w:ascii="仿宋" w:hAnsi="仿宋" w:eastAsia="仿宋" w:cs="仿宋"/>
          <w:color w:val="555555"/>
          <w:sz w:val="32"/>
          <w:szCs w:val="32"/>
        </w:rPr>
        <w:t>亿元，全面完成存量债务置换任务，节省各级政府融资成本</w:t>
      </w:r>
      <w:r>
        <w:rPr>
          <w:rFonts w:hint="eastAsia" w:ascii="仿宋" w:hAnsi="仿宋" w:eastAsia="仿宋" w:cs="仿宋"/>
          <w:color w:val="555555"/>
          <w:sz w:val="32"/>
          <w:szCs w:val="32"/>
          <w:lang w:val="en-US"/>
        </w:rPr>
        <w:t>402</w:t>
      </w:r>
      <w:r>
        <w:rPr>
          <w:rFonts w:hint="eastAsia" w:ascii="仿宋" w:hAnsi="仿宋" w:eastAsia="仿宋" w:cs="仿宋"/>
          <w:color w:val="555555"/>
          <w:sz w:val="32"/>
          <w:szCs w:val="32"/>
        </w:rPr>
        <w:t>亿元。筹集</w:t>
      </w:r>
      <w:r>
        <w:rPr>
          <w:rFonts w:hint="eastAsia" w:ascii="仿宋" w:hAnsi="仿宋" w:eastAsia="仿宋" w:cs="仿宋"/>
          <w:color w:val="555555"/>
          <w:sz w:val="32"/>
          <w:szCs w:val="32"/>
          <w:lang w:val="en-US"/>
        </w:rPr>
        <w:t>75.65</w:t>
      </w:r>
      <w:r>
        <w:rPr>
          <w:rFonts w:hint="eastAsia" w:ascii="仿宋" w:hAnsi="仿宋" w:eastAsia="仿宋" w:cs="仿宋"/>
          <w:color w:val="555555"/>
          <w:sz w:val="32"/>
          <w:szCs w:val="32"/>
        </w:rPr>
        <w:t>亿元专项用于精准脱贫，实现中央和省级</w:t>
      </w:r>
      <w:r>
        <w:rPr>
          <w:rFonts w:hint="eastAsia" w:ascii="仿宋" w:hAnsi="仿宋" w:eastAsia="仿宋" w:cs="仿宋"/>
          <w:color w:val="555555"/>
          <w:sz w:val="32"/>
          <w:szCs w:val="32"/>
          <w:lang w:val="en-US"/>
        </w:rPr>
        <w:t>67</w:t>
      </w:r>
      <w:r>
        <w:rPr>
          <w:rFonts w:hint="eastAsia" w:ascii="仿宋" w:hAnsi="仿宋" w:eastAsia="仿宋" w:cs="仿宋"/>
          <w:color w:val="555555"/>
          <w:sz w:val="32"/>
          <w:szCs w:val="32"/>
        </w:rPr>
        <w:t>个专项扶贫（惠民）资金在线监管，现行扶贫标准下的建档立卡贫困户人口基本实现脱贫，建档立卡贫困村新退出</w:t>
      </w:r>
      <w:r>
        <w:rPr>
          <w:rFonts w:hint="eastAsia" w:ascii="仿宋" w:hAnsi="仿宋" w:eastAsia="仿宋" w:cs="仿宋"/>
          <w:color w:val="555555"/>
          <w:sz w:val="32"/>
          <w:szCs w:val="32"/>
          <w:lang w:val="en-US"/>
        </w:rPr>
        <w:t>1158</w:t>
      </w:r>
      <w:r>
        <w:rPr>
          <w:rFonts w:hint="eastAsia" w:ascii="仿宋" w:hAnsi="仿宋" w:eastAsia="仿宋" w:cs="仿宋"/>
          <w:color w:val="555555"/>
          <w:sz w:val="32"/>
          <w:szCs w:val="32"/>
        </w:rPr>
        <w:t>个，</w:t>
      </w:r>
      <w:r>
        <w:rPr>
          <w:rFonts w:hint="eastAsia" w:ascii="仿宋" w:hAnsi="仿宋" w:eastAsia="仿宋" w:cs="仿宋"/>
          <w:color w:val="555555"/>
          <w:sz w:val="32"/>
          <w:szCs w:val="32"/>
          <w:lang w:val="en-US"/>
        </w:rPr>
        <w:t>5</w:t>
      </w:r>
      <w:r>
        <w:rPr>
          <w:rFonts w:hint="eastAsia" w:ascii="仿宋" w:hAnsi="仿宋" w:eastAsia="仿宋" w:cs="仿宋"/>
          <w:color w:val="555555"/>
          <w:sz w:val="32"/>
          <w:szCs w:val="32"/>
        </w:rPr>
        <w:t>个省级扶贫开发重点县实现摘帽。生态环境质量保持全国领先，出台综合性生态保护补偿试行方案，统筹</w:t>
      </w:r>
      <w:r>
        <w:rPr>
          <w:rFonts w:hint="eastAsia" w:ascii="仿宋" w:hAnsi="仿宋" w:eastAsia="仿宋" w:cs="仿宋"/>
          <w:color w:val="555555"/>
          <w:sz w:val="32"/>
          <w:szCs w:val="32"/>
          <w:lang w:val="en-US"/>
        </w:rPr>
        <w:t>9</w:t>
      </w:r>
      <w:r>
        <w:rPr>
          <w:rFonts w:hint="eastAsia" w:ascii="仿宋" w:hAnsi="仿宋" w:eastAsia="仿宋" w:cs="仿宋"/>
          <w:color w:val="555555"/>
          <w:sz w:val="32"/>
          <w:szCs w:val="32"/>
        </w:rPr>
        <w:t>个部门</w:t>
      </w:r>
      <w:r>
        <w:rPr>
          <w:rFonts w:hint="eastAsia" w:ascii="仿宋" w:hAnsi="仿宋" w:eastAsia="仿宋" w:cs="仿宋"/>
          <w:color w:val="555555"/>
          <w:sz w:val="32"/>
          <w:szCs w:val="32"/>
          <w:lang w:val="en-US"/>
        </w:rPr>
        <w:t>20</w:t>
      </w:r>
      <w:r>
        <w:rPr>
          <w:rFonts w:hint="eastAsia" w:ascii="仿宋" w:hAnsi="仿宋" w:eastAsia="仿宋" w:cs="仿宋"/>
          <w:color w:val="555555"/>
          <w:sz w:val="32"/>
          <w:szCs w:val="32"/>
        </w:rPr>
        <w:t>个生态保护专项转移支付资金，加大对重点生态保护区域的补偿力度。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——着力强化民生事业保障，重点领域支出得到保障。全省民生支出</w:t>
      </w:r>
      <w:r>
        <w:rPr>
          <w:rFonts w:hint="eastAsia" w:ascii="仿宋" w:hAnsi="仿宋" w:eastAsia="仿宋" w:cs="仿宋"/>
          <w:color w:val="555555"/>
          <w:sz w:val="32"/>
          <w:szCs w:val="32"/>
          <w:lang w:val="en-US"/>
        </w:rPr>
        <w:t>3722</w:t>
      </w:r>
      <w:r>
        <w:rPr>
          <w:rFonts w:hint="eastAsia" w:ascii="仿宋" w:hAnsi="仿宋" w:eastAsia="仿宋" w:cs="仿宋"/>
          <w:color w:val="555555"/>
          <w:sz w:val="32"/>
          <w:szCs w:val="32"/>
        </w:rPr>
        <w:t>亿元，同比增长</w:t>
      </w:r>
      <w:r>
        <w:rPr>
          <w:rFonts w:hint="eastAsia" w:ascii="仿宋" w:hAnsi="仿宋" w:eastAsia="仿宋" w:cs="仿宋"/>
          <w:color w:val="555555"/>
          <w:sz w:val="32"/>
          <w:szCs w:val="32"/>
          <w:lang w:val="en-US"/>
        </w:rPr>
        <w:t>10.3%</w:t>
      </w:r>
      <w:r>
        <w:rPr>
          <w:rFonts w:hint="eastAsia" w:ascii="仿宋" w:hAnsi="仿宋" w:eastAsia="仿宋" w:cs="仿宋"/>
          <w:color w:val="555555"/>
          <w:sz w:val="32"/>
          <w:szCs w:val="32"/>
        </w:rPr>
        <w:t>，占一般公共预算支出</w:t>
      </w:r>
      <w:r>
        <w:rPr>
          <w:rFonts w:hint="eastAsia" w:ascii="仿宋" w:hAnsi="仿宋" w:eastAsia="仿宋" w:cs="仿宋"/>
          <w:color w:val="555555"/>
          <w:sz w:val="32"/>
          <w:szCs w:val="32"/>
          <w:lang w:val="en-US"/>
        </w:rPr>
        <w:t>77%</w:t>
      </w:r>
      <w:r>
        <w:rPr>
          <w:rFonts w:hint="eastAsia" w:ascii="仿宋" w:hAnsi="仿宋" w:eastAsia="仿宋" w:cs="仿宋"/>
          <w:color w:val="555555"/>
          <w:sz w:val="32"/>
          <w:szCs w:val="32"/>
        </w:rPr>
        <w:t>。下达就业专项资金</w:t>
      </w:r>
      <w:r>
        <w:rPr>
          <w:rFonts w:hint="eastAsia" w:ascii="仿宋" w:hAnsi="仿宋" w:eastAsia="仿宋" w:cs="仿宋"/>
          <w:color w:val="555555"/>
          <w:sz w:val="32"/>
          <w:szCs w:val="32"/>
          <w:lang w:val="en-US"/>
        </w:rPr>
        <w:t>8.7</w:t>
      </w:r>
      <w:r>
        <w:rPr>
          <w:rFonts w:hint="eastAsia" w:ascii="仿宋" w:hAnsi="仿宋" w:eastAsia="仿宋" w:cs="仿宋"/>
          <w:color w:val="555555"/>
          <w:sz w:val="32"/>
          <w:szCs w:val="32"/>
        </w:rPr>
        <w:t>亿元，推行终身职业技能培训制度，城镇新增就业完成年度目标</w:t>
      </w:r>
      <w:r>
        <w:rPr>
          <w:rFonts w:hint="eastAsia" w:ascii="仿宋" w:hAnsi="仿宋" w:eastAsia="仿宋" w:cs="仿宋"/>
          <w:color w:val="555555"/>
          <w:sz w:val="32"/>
          <w:szCs w:val="32"/>
          <w:lang w:val="en-US"/>
        </w:rPr>
        <w:t>108.7%</w:t>
      </w:r>
      <w:r>
        <w:rPr>
          <w:rFonts w:hint="eastAsia" w:ascii="仿宋" w:hAnsi="仿宋" w:eastAsia="仿宋" w:cs="仿宋"/>
          <w:color w:val="555555"/>
          <w:sz w:val="32"/>
          <w:szCs w:val="32"/>
        </w:rPr>
        <w:t>。建立学前教育经费保障机制，普惠性幼儿园覆盖率提高到</w:t>
      </w:r>
      <w:r>
        <w:rPr>
          <w:rFonts w:hint="eastAsia" w:ascii="仿宋" w:hAnsi="仿宋" w:eastAsia="仿宋" w:cs="仿宋"/>
          <w:color w:val="555555"/>
          <w:sz w:val="32"/>
          <w:szCs w:val="32"/>
          <w:lang w:val="en-US"/>
        </w:rPr>
        <w:t>73%</w:t>
      </w:r>
      <w:r>
        <w:rPr>
          <w:rFonts w:hint="eastAsia" w:ascii="仿宋" w:hAnsi="仿宋" w:eastAsia="仿宋" w:cs="仿宋"/>
          <w:color w:val="555555"/>
          <w:sz w:val="32"/>
          <w:szCs w:val="32"/>
        </w:rPr>
        <w:t>。基本公共卫生服务经费补助标准和城乡居民医保补助标准分别提高</w:t>
      </w:r>
      <w:r>
        <w:rPr>
          <w:rFonts w:hint="eastAsia" w:ascii="仿宋" w:hAnsi="仿宋" w:eastAsia="仿宋" w:cs="仿宋"/>
          <w:color w:val="555555"/>
          <w:sz w:val="32"/>
          <w:szCs w:val="32"/>
          <w:lang w:val="en-US"/>
        </w:rPr>
        <w:t>10%</w:t>
      </w:r>
      <w:r>
        <w:rPr>
          <w:rFonts w:hint="eastAsia" w:ascii="仿宋" w:hAnsi="仿宋" w:eastAsia="仿宋" w:cs="仿宋"/>
          <w:color w:val="555555"/>
          <w:sz w:val="32"/>
          <w:szCs w:val="32"/>
        </w:rPr>
        <w:t>、</w:t>
      </w:r>
      <w:r>
        <w:rPr>
          <w:rFonts w:hint="eastAsia" w:ascii="仿宋" w:hAnsi="仿宋" w:eastAsia="仿宋" w:cs="仿宋"/>
          <w:color w:val="555555"/>
          <w:sz w:val="32"/>
          <w:szCs w:val="32"/>
          <w:lang w:val="en-US"/>
        </w:rPr>
        <w:t>8.9%</w:t>
      </w:r>
      <w:r>
        <w:rPr>
          <w:rFonts w:hint="eastAsia" w:ascii="仿宋" w:hAnsi="仿宋" w:eastAsia="仿宋" w:cs="仿宋"/>
          <w:color w:val="555555"/>
          <w:sz w:val="32"/>
          <w:szCs w:val="32"/>
        </w:rPr>
        <w:t>。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——不断完善审计整改工作机制，查出问题得到有效整改。省两办出台《关于完善审计整改提升成果运用的意见（试行）》，从完善审计整改责任制度等八个方面提出</w:t>
      </w:r>
      <w:r>
        <w:rPr>
          <w:rFonts w:hint="eastAsia" w:ascii="仿宋" w:hAnsi="仿宋" w:eastAsia="仿宋" w:cs="仿宋"/>
          <w:color w:val="555555"/>
          <w:sz w:val="32"/>
          <w:szCs w:val="32"/>
          <w:lang w:val="en-US"/>
        </w:rPr>
        <w:t>23</w:t>
      </w:r>
      <w:r>
        <w:rPr>
          <w:rFonts w:hint="eastAsia" w:ascii="仿宋" w:hAnsi="仿宋" w:eastAsia="仿宋" w:cs="仿宋"/>
          <w:color w:val="555555"/>
          <w:sz w:val="32"/>
          <w:szCs w:val="32"/>
        </w:rPr>
        <w:t>项要求。省政府认真落实省十三届人大常委会第四次、第七次会议审议意见，各地区、各部门单位持续开展整改、加强管理、完善制度，防患于未然。上年度全省审计促进整改落实有关问题资金</w:t>
      </w:r>
      <w:r>
        <w:rPr>
          <w:rFonts w:hint="eastAsia" w:ascii="仿宋" w:hAnsi="仿宋" w:eastAsia="仿宋" w:cs="仿宋"/>
          <w:color w:val="555555"/>
          <w:sz w:val="32"/>
          <w:szCs w:val="32"/>
          <w:lang w:val="en-US"/>
        </w:rPr>
        <w:t>90.97</w:t>
      </w:r>
      <w:r>
        <w:rPr>
          <w:rFonts w:hint="eastAsia" w:ascii="仿宋" w:hAnsi="仿宋" w:eastAsia="仿宋" w:cs="仿宋"/>
          <w:color w:val="555555"/>
          <w:sz w:val="32"/>
          <w:szCs w:val="32"/>
        </w:rPr>
        <w:t>亿元，推动被审计单位建立健全规章制度</w:t>
      </w:r>
      <w:r>
        <w:rPr>
          <w:rFonts w:hint="eastAsia" w:ascii="仿宋" w:hAnsi="仿宋" w:eastAsia="仿宋" w:cs="仿宋"/>
          <w:color w:val="555555"/>
          <w:sz w:val="32"/>
          <w:szCs w:val="32"/>
          <w:lang w:val="en-US"/>
        </w:rPr>
        <w:t>293</w:t>
      </w:r>
      <w:r>
        <w:rPr>
          <w:rFonts w:hint="eastAsia" w:ascii="仿宋" w:hAnsi="仿宋" w:eastAsia="仿宋" w:cs="仿宋"/>
          <w:color w:val="555555"/>
          <w:sz w:val="32"/>
          <w:szCs w:val="32"/>
        </w:rPr>
        <w:t>项。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一、财政管理审计情况 </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省审计厅采取全省统一部署、统一方案、三级联动、同步实施开展，统筹整合审计资源，树立数据先行理念，对省市县三级财政管理数据开展集中分析，实现对省一级预算单位的审计分析全覆盖。通过数据集中分析，掌握省市县三级财政资金的预算执行总体情况，重点核查</w:t>
      </w:r>
      <w:r>
        <w:rPr>
          <w:rFonts w:hint="eastAsia" w:ascii="仿宋" w:hAnsi="仿宋" w:eastAsia="仿宋" w:cs="仿宋"/>
          <w:color w:val="555555"/>
          <w:sz w:val="32"/>
          <w:szCs w:val="32"/>
          <w:lang w:val="en-US"/>
        </w:rPr>
        <w:t>88</w:t>
      </w:r>
      <w:r>
        <w:rPr>
          <w:rFonts w:hint="eastAsia" w:ascii="仿宋" w:hAnsi="仿宋" w:eastAsia="仿宋" w:cs="仿宋"/>
          <w:color w:val="555555"/>
          <w:sz w:val="32"/>
          <w:szCs w:val="32"/>
        </w:rPr>
        <w:t>家省一级预算单位的预算细化、二次分配及执行进度等情况，发现的疑点问题已函告相关单位要求进一步核查。从审计情况看，</w:t>
      </w:r>
      <w:r>
        <w:rPr>
          <w:rFonts w:hint="eastAsia" w:ascii="仿宋" w:hAnsi="仿宋" w:eastAsia="仿宋" w:cs="仿宋"/>
          <w:color w:val="555555"/>
          <w:sz w:val="32"/>
          <w:szCs w:val="32"/>
          <w:lang w:val="en-US"/>
        </w:rPr>
        <w:t>2018</w:t>
      </w:r>
      <w:r>
        <w:rPr>
          <w:rFonts w:hint="eastAsia" w:ascii="仿宋" w:hAnsi="仿宋" w:eastAsia="仿宋" w:cs="仿宋"/>
          <w:color w:val="555555"/>
          <w:sz w:val="32"/>
          <w:szCs w:val="32"/>
        </w:rPr>
        <w:t>年省级预算执行情况和决算草案编制总体较好，财政收支管理不断增强。但也存在以下问题：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（一）财政绩效管理有待进一步提高。一是评价基础工作不够扎实。</w:t>
      </w:r>
      <w:r>
        <w:rPr>
          <w:rFonts w:hint="eastAsia" w:ascii="仿宋" w:hAnsi="仿宋" w:eastAsia="仿宋" w:cs="仿宋"/>
          <w:color w:val="555555"/>
          <w:sz w:val="32"/>
          <w:szCs w:val="32"/>
          <w:lang w:val="en-US"/>
        </w:rPr>
        <w:t>2018</w:t>
      </w:r>
      <w:r>
        <w:rPr>
          <w:rFonts w:hint="eastAsia" w:ascii="仿宋" w:hAnsi="仿宋" w:eastAsia="仿宋" w:cs="仿宋"/>
          <w:color w:val="555555"/>
          <w:sz w:val="32"/>
          <w:szCs w:val="32"/>
        </w:rPr>
        <w:t>年省级重点评价专项中，</w:t>
      </w:r>
      <w:r>
        <w:rPr>
          <w:rFonts w:hint="eastAsia" w:ascii="仿宋" w:hAnsi="仿宋" w:eastAsia="仿宋" w:cs="仿宋"/>
          <w:color w:val="555555"/>
          <w:sz w:val="32"/>
          <w:szCs w:val="32"/>
          <w:lang w:val="en-US"/>
        </w:rPr>
        <w:t>48%</w:t>
      </w:r>
      <w:r>
        <w:rPr>
          <w:rFonts w:hint="eastAsia" w:ascii="仿宋" w:hAnsi="仿宋" w:eastAsia="仿宋" w:cs="仿宋"/>
          <w:color w:val="555555"/>
          <w:sz w:val="32"/>
          <w:szCs w:val="32"/>
        </w:rPr>
        <w:t>的专项资金量较小，</w:t>
      </w:r>
      <w:r>
        <w:rPr>
          <w:rFonts w:hint="eastAsia" w:ascii="仿宋" w:hAnsi="仿宋" w:eastAsia="仿宋" w:cs="仿宋"/>
          <w:color w:val="555555"/>
          <w:sz w:val="32"/>
          <w:szCs w:val="32"/>
          <w:lang w:val="en-US"/>
        </w:rPr>
        <w:t>72%</w:t>
      </w:r>
      <w:r>
        <w:rPr>
          <w:rFonts w:hint="eastAsia" w:ascii="仿宋" w:hAnsi="仿宋" w:eastAsia="仿宋" w:cs="仿宋"/>
          <w:color w:val="555555"/>
          <w:sz w:val="32"/>
          <w:szCs w:val="32"/>
        </w:rPr>
        <w:t>的评价报告</w:t>
      </w:r>
      <w:r>
        <w:rPr>
          <w:rFonts w:hint="eastAsia" w:ascii="仿宋" w:hAnsi="仿宋" w:eastAsia="仿宋" w:cs="仿宋"/>
          <w:color w:val="555555"/>
          <w:sz w:val="32"/>
          <w:szCs w:val="32"/>
          <w:lang w:val="en-US"/>
        </w:rPr>
        <w:t>2018</w:t>
      </w:r>
      <w:r>
        <w:rPr>
          <w:rFonts w:hint="eastAsia" w:ascii="仿宋" w:hAnsi="仿宋" w:eastAsia="仿宋" w:cs="仿宋"/>
          <w:color w:val="555555"/>
          <w:sz w:val="32"/>
          <w:szCs w:val="32"/>
        </w:rPr>
        <w:t>年</w:t>
      </w:r>
      <w:r>
        <w:rPr>
          <w:rFonts w:hint="eastAsia" w:ascii="仿宋" w:hAnsi="仿宋" w:eastAsia="仿宋" w:cs="仿宋"/>
          <w:color w:val="555555"/>
          <w:sz w:val="32"/>
          <w:szCs w:val="32"/>
          <w:lang w:val="en-US"/>
        </w:rPr>
        <w:t>12</w:t>
      </w:r>
      <w:r>
        <w:rPr>
          <w:rFonts w:hint="eastAsia" w:ascii="仿宋" w:hAnsi="仿宋" w:eastAsia="仿宋" w:cs="仿宋"/>
          <w:color w:val="555555"/>
          <w:sz w:val="32"/>
          <w:szCs w:val="32"/>
        </w:rPr>
        <w:t>月以后出具；</w:t>
      </w:r>
      <w:r>
        <w:rPr>
          <w:rFonts w:hint="eastAsia" w:ascii="仿宋" w:hAnsi="仿宋" w:eastAsia="仿宋" w:cs="仿宋"/>
          <w:color w:val="555555"/>
          <w:sz w:val="32"/>
          <w:szCs w:val="32"/>
          <w:lang w:val="en-US"/>
        </w:rPr>
        <w:t>13</w:t>
      </w:r>
      <w:r>
        <w:rPr>
          <w:rFonts w:hint="eastAsia" w:ascii="仿宋" w:hAnsi="仿宋" w:eastAsia="仿宋" w:cs="仿宋"/>
          <w:color w:val="555555"/>
          <w:sz w:val="32"/>
          <w:szCs w:val="32"/>
        </w:rPr>
        <w:t>个市县也存在重点评价结果未有效运用问题。二是评价体系不够科学。</w:t>
      </w:r>
      <w:r>
        <w:rPr>
          <w:rFonts w:hint="eastAsia" w:ascii="仿宋" w:hAnsi="仿宋" w:eastAsia="仿宋" w:cs="仿宋"/>
          <w:color w:val="555555"/>
          <w:sz w:val="32"/>
          <w:szCs w:val="32"/>
          <w:lang w:val="en-US"/>
        </w:rPr>
        <w:t>6</w:t>
      </w:r>
      <w:r>
        <w:rPr>
          <w:rFonts w:hint="eastAsia" w:ascii="仿宋" w:hAnsi="仿宋" w:eastAsia="仿宋" w:cs="仿宋"/>
          <w:color w:val="555555"/>
          <w:sz w:val="32"/>
          <w:szCs w:val="32"/>
        </w:rPr>
        <w:t>个省级专项未设置服务对象满意度的绩效目标；</w:t>
      </w:r>
      <w:r>
        <w:rPr>
          <w:rFonts w:hint="eastAsia" w:ascii="仿宋" w:hAnsi="仿宋" w:eastAsia="仿宋" w:cs="仿宋"/>
          <w:color w:val="555555"/>
          <w:sz w:val="32"/>
          <w:szCs w:val="32"/>
          <w:lang w:val="en-US"/>
        </w:rPr>
        <w:t>20</w:t>
      </w:r>
      <w:r>
        <w:rPr>
          <w:rFonts w:hint="eastAsia" w:ascii="仿宋" w:hAnsi="仿宋" w:eastAsia="仿宋" w:cs="仿宋"/>
          <w:color w:val="555555"/>
          <w:sz w:val="32"/>
          <w:szCs w:val="32"/>
        </w:rPr>
        <w:t>个省级专项和</w:t>
      </w:r>
      <w:r>
        <w:rPr>
          <w:rFonts w:hint="eastAsia" w:ascii="仿宋" w:hAnsi="仿宋" w:eastAsia="仿宋" w:cs="仿宋"/>
          <w:color w:val="555555"/>
          <w:sz w:val="32"/>
          <w:szCs w:val="32"/>
          <w:lang w:val="en-US"/>
        </w:rPr>
        <w:t>12</w:t>
      </w:r>
      <w:r>
        <w:rPr>
          <w:rFonts w:hint="eastAsia" w:ascii="仿宋" w:hAnsi="仿宋" w:eastAsia="仿宋" w:cs="仿宋"/>
          <w:color w:val="555555"/>
          <w:sz w:val="32"/>
          <w:szCs w:val="32"/>
        </w:rPr>
        <w:t>个市县专项绩效目标中定量指标较少，定性指标未分级分档，同类指标分值权重差距较大，评价结果主观性较强，可比性较差。三是部分专项评价质量不高。有的专项项目资金未使用，但自评结果为满分；有的项目以合同约定的预期收益率代替实际收益率进行考评，考评结果为满分。四是县级财政绩效管理有待加强。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（二）专项资金管理创新不足。一是抽查</w:t>
      </w:r>
      <w:r>
        <w:rPr>
          <w:rFonts w:hint="eastAsia" w:ascii="仿宋" w:hAnsi="仿宋" w:eastAsia="仿宋" w:cs="仿宋"/>
          <w:color w:val="555555"/>
          <w:sz w:val="32"/>
          <w:szCs w:val="32"/>
          <w:lang w:val="en-US"/>
        </w:rPr>
        <w:t>22</w:t>
      </w:r>
      <w:r>
        <w:rPr>
          <w:rFonts w:hint="eastAsia" w:ascii="仿宋" w:hAnsi="仿宋" w:eastAsia="仿宋" w:cs="仿宋"/>
          <w:color w:val="555555"/>
          <w:sz w:val="32"/>
          <w:szCs w:val="32"/>
        </w:rPr>
        <w:t>个省级专项，资金在基层沉淀比较多。二是部分专项资金清理整合不到位，有的专项资金下达中细分成多个专项及支出方向，并限定资金用途。三是没有及时制定管理办法、项目库管理滞后，</w:t>
      </w:r>
      <w:r>
        <w:rPr>
          <w:rFonts w:hint="eastAsia" w:ascii="仿宋" w:hAnsi="仿宋" w:eastAsia="仿宋" w:cs="仿宋"/>
          <w:color w:val="555555"/>
          <w:sz w:val="32"/>
          <w:szCs w:val="32"/>
          <w:lang w:val="en-US"/>
        </w:rPr>
        <w:t>2019</w:t>
      </w:r>
      <w:r>
        <w:rPr>
          <w:rFonts w:hint="eastAsia" w:ascii="仿宋" w:hAnsi="仿宋" w:eastAsia="仿宋" w:cs="仿宋"/>
          <w:color w:val="555555"/>
          <w:sz w:val="32"/>
          <w:szCs w:val="32"/>
        </w:rPr>
        <w:t>年省级部门专项资金中有</w:t>
      </w:r>
      <w:r>
        <w:rPr>
          <w:rFonts w:hint="eastAsia" w:ascii="仿宋" w:hAnsi="仿宋" w:eastAsia="仿宋" w:cs="仿宋"/>
          <w:color w:val="555555"/>
          <w:sz w:val="32"/>
          <w:szCs w:val="32"/>
          <w:lang w:val="en-US"/>
        </w:rPr>
        <w:t>10</w:t>
      </w:r>
      <w:r>
        <w:rPr>
          <w:rFonts w:hint="eastAsia" w:ascii="仿宋" w:hAnsi="仿宋" w:eastAsia="仿宋" w:cs="仿宋"/>
          <w:color w:val="555555"/>
          <w:sz w:val="32"/>
          <w:szCs w:val="32"/>
        </w:rPr>
        <w:t>项未制定管理办法、有</w:t>
      </w:r>
      <w:r>
        <w:rPr>
          <w:rFonts w:hint="eastAsia" w:ascii="仿宋" w:hAnsi="仿宋" w:eastAsia="仿宋" w:cs="仿宋"/>
          <w:color w:val="555555"/>
          <w:sz w:val="32"/>
          <w:szCs w:val="32"/>
          <w:lang w:val="en-US"/>
        </w:rPr>
        <w:t>14</w:t>
      </w:r>
      <w:r>
        <w:rPr>
          <w:rFonts w:hint="eastAsia" w:ascii="仿宋" w:hAnsi="仿宋" w:eastAsia="仿宋" w:cs="仿宋"/>
          <w:color w:val="555555"/>
          <w:sz w:val="32"/>
          <w:szCs w:val="32"/>
        </w:rPr>
        <w:t>项尚未建设项目库。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（三）财政预算管理不到位。一是预算编制不规范、细化率低。</w:t>
      </w:r>
      <w:r>
        <w:rPr>
          <w:rFonts w:hint="eastAsia" w:ascii="仿宋" w:hAnsi="仿宋" w:eastAsia="仿宋" w:cs="仿宋"/>
          <w:color w:val="555555"/>
          <w:sz w:val="32"/>
          <w:szCs w:val="32"/>
          <w:lang w:val="en-US"/>
        </w:rPr>
        <w:t>36</w:t>
      </w:r>
      <w:r>
        <w:rPr>
          <w:rFonts w:hint="eastAsia" w:ascii="仿宋" w:hAnsi="仿宋" w:eastAsia="仿宋" w:cs="仿宋"/>
          <w:color w:val="555555"/>
          <w:sz w:val="32"/>
          <w:szCs w:val="32"/>
        </w:rPr>
        <w:t>个市县未将上级提前下达的转移支付编入本级预算；</w:t>
      </w:r>
      <w:r>
        <w:rPr>
          <w:rFonts w:hint="eastAsia" w:ascii="仿宋" w:hAnsi="仿宋" w:eastAsia="仿宋" w:cs="仿宋"/>
          <w:color w:val="555555"/>
          <w:sz w:val="32"/>
          <w:szCs w:val="32"/>
          <w:lang w:val="en-US"/>
        </w:rPr>
        <w:t>15</w:t>
      </w:r>
      <w:r>
        <w:rPr>
          <w:rFonts w:hint="eastAsia" w:ascii="仿宋" w:hAnsi="仿宋" w:eastAsia="仿宋" w:cs="仿宋"/>
          <w:color w:val="555555"/>
          <w:sz w:val="32"/>
          <w:szCs w:val="32"/>
        </w:rPr>
        <w:t>个市县存在财政资金未纳入预算管理问题；</w:t>
      </w:r>
      <w:r>
        <w:rPr>
          <w:rFonts w:hint="eastAsia" w:ascii="仿宋" w:hAnsi="仿宋" w:eastAsia="仿宋" w:cs="仿宋"/>
          <w:color w:val="555555"/>
          <w:sz w:val="32"/>
          <w:szCs w:val="32"/>
          <w:lang w:val="en-US"/>
        </w:rPr>
        <w:t>88</w:t>
      </w:r>
      <w:r>
        <w:rPr>
          <w:rFonts w:hint="eastAsia" w:ascii="仿宋" w:hAnsi="仿宋" w:eastAsia="仿宋" w:cs="仿宋"/>
          <w:color w:val="555555"/>
          <w:sz w:val="32"/>
          <w:szCs w:val="32"/>
        </w:rPr>
        <w:t>家省一级预算单位编制的年初一般公共预算中，有</w:t>
      </w:r>
      <w:r>
        <w:rPr>
          <w:rFonts w:hint="eastAsia" w:ascii="仿宋" w:hAnsi="仿宋" w:eastAsia="仿宋" w:cs="仿宋"/>
          <w:color w:val="555555"/>
          <w:sz w:val="32"/>
          <w:szCs w:val="32"/>
          <w:lang w:val="en-US"/>
        </w:rPr>
        <w:t>23</w:t>
      </w:r>
      <w:r>
        <w:rPr>
          <w:rFonts w:hint="eastAsia" w:ascii="仿宋" w:hAnsi="仿宋" w:eastAsia="仿宋" w:cs="仿宋"/>
          <w:color w:val="555555"/>
          <w:sz w:val="32"/>
          <w:szCs w:val="32"/>
        </w:rPr>
        <w:t>家单位部门发展性项目支出、</w:t>
      </w:r>
      <w:r>
        <w:rPr>
          <w:rFonts w:hint="eastAsia" w:ascii="仿宋" w:hAnsi="仿宋" w:eastAsia="仿宋" w:cs="仿宋"/>
          <w:color w:val="555555"/>
          <w:sz w:val="32"/>
          <w:szCs w:val="32"/>
          <w:lang w:val="en-US"/>
        </w:rPr>
        <w:t>22</w:t>
      </w:r>
      <w:r>
        <w:rPr>
          <w:rFonts w:hint="eastAsia" w:ascii="仿宋" w:hAnsi="仿宋" w:eastAsia="仿宋" w:cs="仿宋"/>
          <w:color w:val="555555"/>
          <w:sz w:val="32"/>
          <w:szCs w:val="32"/>
        </w:rPr>
        <w:t>家单位对市县转移支付细化率低于</w:t>
      </w:r>
      <w:r>
        <w:rPr>
          <w:rFonts w:hint="eastAsia" w:ascii="仿宋" w:hAnsi="仿宋" w:eastAsia="仿宋" w:cs="仿宋"/>
          <w:color w:val="555555"/>
          <w:sz w:val="32"/>
          <w:szCs w:val="32"/>
          <w:lang w:val="en-US"/>
        </w:rPr>
        <w:t>70%</w:t>
      </w:r>
      <w:r>
        <w:rPr>
          <w:rFonts w:hint="eastAsia" w:ascii="仿宋" w:hAnsi="仿宋" w:eastAsia="仿宋" w:cs="仿宋"/>
          <w:color w:val="555555"/>
          <w:sz w:val="32"/>
          <w:szCs w:val="32"/>
        </w:rPr>
        <w:t>；年初政府性基金预算中，有</w:t>
      </w:r>
      <w:r>
        <w:rPr>
          <w:rFonts w:hint="eastAsia" w:ascii="仿宋" w:hAnsi="仿宋" w:eastAsia="仿宋" w:cs="仿宋"/>
          <w:color w:val="555555"/>
          <w:sz w:val="32"/>
          <w:szCs w:val="32"/>
          <w:lang w:val="en-US"/>
        </w:rPr>
        <w:t>4</w:t>
      </w:r>
      <w:r>
        <w:rPr>
          <w:rFonts w:hint="eastAsia" w:ascii="仿宋" w:hAnsi="仿宋" w:eastAsia="仿宋" w:cs="仿宋"/>
          <w:color w:val="555555"/>
          <w:sz w:val="32"/>
          <w:szCs w:val="32"/>
        </w:rPr>
        <w:t>家单位对市县转移支付细化率低于</w:t>
      </w:r>
      <w:r>
        <w:rPr>
          <w:rFonts w:hint="eastAsia" w:ascii="仿宋" w:hAnsi="仿宋" w:eastAsia="仿宋" w:cs="仿宋"/>
          <w:color w:val="555555"/>
          <w:sz w:val="32"/>
          <w:szCs w:val="32"/>
          <w:lang w:val="en-US"/>
        </w:rPr>
        <w:t>70%</w:t>
      </w:r>
      <w:r>
        <w:rPr>
          <w:rFonts w:hint="eastAsia" w:ascii="仿宋" w:hAnsi="仿宋" w:eastAsia="仿宋" w:cs="仿宋"/>
          <w:color w:val="555555"/>
          <w:sz w:val="32"/>
          <w:szCs w:val="32"/>
        </w:rPr>
        <w:t>。二是项目预算编制不合理、存量资金清理不到位。</w:t>
      </w:r>
      <w:r>
        <w:rPr>
          <w:rFonts w:hint="eastAsia" w:ascii="仿宋" w:hAnsi="仿宋" w:eastAsia="仿宋" w:cs="仿宋"/>
          <w:color w:val="555555"/>
          <w:sz w:val="32"/>
          <w:szCs w:val="32"/>
          <w:lang w:val="en-US"/>
        </w:rPr>
        <w:t>38</w:t>
      </w:r>
      <w:r>
        <w:rPr>
          <w:rFonts w:hint="eastAsia" w:ascii="仿宋" w:hAnsi="仿宋" w:eastAsia="仿宋" w:cs="仿宋"/>
          <w:color w:val="555555"/>
          <w:sz w:val="32"/>
          <w:szCs w:val="32"/>
        </w:rPr>
        <w:t>家省一级预算单位</w:t>
      </w:r>
      <w:r>
        <w:rPr>
          <w:rFonts w:hint="eastAsia" w:ascii="仿宋" w:hAnsi="仿宋" w:eastAsia="仿宋" w:cs="仿宋"/>
          <w:color w:val="555555"/>
          <w:sz w:val="32"/>
          <w:szCs w:val="32"/>
          <w:lang w:val="en-US"/>
        </w:rPr>
        <w:t>94</w:t>
      </w:r>
      <w:r>
        <w:rPr>
          <w:rFonts w:hint="eastAsia" w:ascii="仿宋" w:hAnsi="仿宋" w:eastAsia="仿宋" w:cs="仿宋"/>
          <w:color w:val="555555"/>
          <w:sz w:val="32"/>
          <w:szCs w:val="32"/>
        </w:rPr>
        <w:t>个项目，在</w:t>
      </w:r>
      <w:r>
        <w:rPr>
          <w:rFonts w:hint="eastAsia" w:ascii="仿宋" w:hAnsi="仿宋" w:eastAsia="仿宋" w:cs="仿宋"/>
          <w:color w:val="555555"/>
          <w:sz w:val="32"/>
          <w:szCs w:val="32"/>
          <w:lang w:val="en-US"/>
        </w:rPr>
        <w:t>2017</w:t>
      </w:r>
      <w:r>
        <w:rPr>
          <w:rFonts w:hint="eastAsia" w:ascii="仿宋" w:hAnsi="仿宋" w:eastAsia="仿宋" w:cs="仿宋"/>
          <w:color w:val="555555"/>
          <w:sz w:val="32"/>
          <w:szCs w:val="32"/>
        </w:rPr>
        <w:t>年末仍有较多结转情况下，</w:t>
      </w:r>
      <w:r>
        <w:rPr>
          <w:rFonts w:hint="eastAsia" w:ascii="仿宋" w:hAnsi="仿宋" w:eastAsia="仿宋" w:cs="仿宋"/>
          <w:color w:val="555555"/>
          <w:sz w:val="32"/>
          <w:szCs w:val="32"/>
          <w:lang w:val="en-US"/>
        </w:rPr>
        <w:t>2018</w:t>
      </w:r>
      <w:r>
        <w:rPr>
          <w:rFonts w:hint="eastAsia" w:ascii="仿宋" w:hAnsi="仿宋" w:eastAsia="仿宋" w:cs="仿宋"/>
          <w:color w:val="555555"/>
          <w:sz w:val="32"/>
          <w:szCs w:val="32"/>
        </w:rPr>
        <w:t>年省财政又予以安排，至年末形成的结转结余为年度预算的</w:t>
      </w:r>
      <w:r>
        <w:rPr>
          <w:rFonts w:hint="eastAsia" w:ascii="仿宋" w:hAnsi="仿宋" w:eastAsia="仿宋" w:cs="仿宋"/>
          <w:color w:val="555555"/>
          <w:sz w:val="32"/>
          <w:szCs w:val="32"/>
          <w:lang w:val="en-US"/>
        </w:rPr>
        <w:t>109.15%</w:t>
      </w:r>
      <w:r>
        <w:rPr>
          <w:rFonts w:hint="eastAsia" w:ascii="仿宋" w:hAnsi="仿宋" w:eastAsia="仿宋" w:cs="仿宋"/>
          <w:color w:val="555555"/>
          <w:sz w:val="32"/>
          <w:szCs w:val="32"/>
        </w:rPr>
        <w:t>，</w:t>
      </w:r>
      <w:r>
        <w:rPr>
          <w:rFonts w:hint="eastAsia" w:ascii="仿宋" w:hAnsi="仿宋" w:eastAsia="仿宋" w:cs="仿宋"/>
          <w:color w:val="555555"/>
          <w:sz w:val="32"/>
          <w:szCs w:val="32"/>
          <w:lang w:val="en-US"/>
        </w:rPr>
        <w:t>24</w:t>
      </w:r>
      <w:r>
        <w:rPr>
          <w:rFonts w:hint="eastAsia" w:ascii="仿宋" w:hAnsi="仿宋" w:eastAsia="仿宋" w:cs="仿宋"/>
          <w:color w:val="555555"/>
          <w:sz w:val="32"/>
          <w:szCs w:val="32"/>
        </w:rPr>
        <w:t>个市县也存在此类问题；</w:t>
      </w:r>
      <w:r>
        <w:rPr>
          <w:rFonts w:hint="eastAsia" w:ascii="仿宋" w:hAnsi="仿宋" w:eastAsia="仿宋" w:cs="仿宋"/>
          <w:color w:val="555555"/>
          <w:sz w:val="32"/>
          <w:szCs w:val="32"/>
          <w:lang w:val="en-US"/>
        </w:rPr>
        <w:t>39</w:t>
      </w:r>
      <w:r>
        <w:rPr>
          <w:rFonts w:hint="eastAsia" w:ascii="仿宋" w:hAnsi="仿宋" w:eastAsia="仿宋" w:cs="仿宋"/>
          <w:color w:val="555555"/>
          <w:sz w:val="32"/>
          <w:szCs w:val="32"/>
        </w:rPr>
        <w:t>个市县财政存量资金未按规定清理统筹。三是转移支付下达滞后、预算批复不及时。</w:t>
      </w:r>
      <w:r>
        <w:rPr>
          <w:rFonts w:hint="eastAsia" w:ascii="仿宋" w:hAnsi="仿宋" w:eastAsia="仿宋" w:cs="仿宋"/>
          <w:color w:val="555555"/>
          <w:sz w:val="32"/>
          <w:szCs w:val="32"/>
          <w:lang w:val="en-US"/>
        </w:rPr>
        <w:t>18</w:t>
      </w:r>
      <w:r>
        <w:rPr>
          <w:rFonts w:hint="eastAsia" w:ascii="仿宋" w:hAnsi="仿宋" w:eastAsia="仿宋" w:cs="仿宋"/>
          <w:color w:val="555555"/>
          <w:sz w:val="32"/>
          <w:szCs w:val="32"/>
        </w:rPr>
        <w:t>个市县转移支付资金未在规定时间内下达，</w:t>
      </w:r>
      <w:r>
        <w:rPr>
          <w:rFonts w:hint="eastAsia" w:ascii="仿宋" w:hAnsi="仿宋" w:eastAsia="仿宋" w:cs="仿宋"/>
          <w:color w:val="555555"/>
          <w:sz w:val="32"/>
          <w:szCs w:val="32"/>
          <w:lang w:val="en-US"/>
        </w:rPr>
        <w:t>5</w:t>
      </w:r>
      <w:r>
        <w:rPr>
          <w:rFonts w:hint="eastAsia" w:ascii="仿宋" w:hAnsi="仿宋" w:eastAsia="仿宋" w:cs="仿宋"/>
          <w:color w:val="555555"/>
          <w:sz w:val="32"/>
          <w:szCs w:val="32"/>
        </w:rPr>
        <w:t>个县的财政部门未在规定时间内批复部门预算。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（四）国库集中支付制度执行不力。一是国库集中支付管理有待完善。涉及</w:t>
      </w:r>
      <w:r>
        <w:rPr>
          <w:rFonts w:hint="eastAsia" w:ascii="仿宋" w:hAnsi="仿宋" w:eastAsia="仿宋" w:cs="仿宋"/>
          <w:color w:val="555555"/>
          <w:sz w:val="32"/>
          <w:szCs w:val="32"/>
          <w:lang w:val="en-US"/>
        </w:rPr>
        <w:t>26</w:t>
      </w:r>
      <w:r>
        <w:rPr>
          <w:rFonts w:hint="eastAsia" w:ascii="仿宋" w:hAnsi="仿宋" w:eastAsia="仿宋" w:cs="仿宋"/>
          <w:color w:val="555555"/>
          <w:sz w:val="32"/>
          <w:szCs w:val="32"/>
        </w:rPr>
        <w:t>个省级部门和</w:t>
      </w:r>
      <w:r>
        <w:rPr>
          <w:rFonts w:hint="eastAsia" w:ascii="仿宋" w:hAnsi="仿宋" w:eastAsia="仿宋" w:cs="仿宋"/>
          <w:color w:val="555555"/>
          <w:sz w:val="32"/>
          <w:szCs w:val="32"/>
          <w:lang w:val="en-US"/>
        </w:rPr>
        <w:t>33</w:t>
      </w:r>
      <w:r>
        <w:rPr>
          <w:rFonts w:hint="eastAsia" w:ascii="仿宋" w:hAnsi="仿宋" w:eastAsia="仿宋" w:cs="仿宋"/>
          <w:color w:val="555555"/>
          <w:sz w:val="32"/>
          <w:szCs w:val="32"/>
        </w:rPr>
        <w:t>个市县，其中：</w:t>
      </w:r>
      <w:r>
        <w:rPr>
          <w:rFonts w:hint="eastAsia" w:ascii="仿宋" w:hAnsi="仿宋" w:eastAsia="仿宋" w:cs="仿宋"/>
          <w:color w:val="555555"/>
          <w:sz w:val="32"/>
          <w:szCs w:val="32"/>
          <w:lang w:val="en-US"/>
        </w:rPr>
        <w:t>23</w:t>
      </w:r>
      <w:r>
        <w:rPr>
          <w:rFonts w:hint="eastAsia" w:ascii="仿宋" w:hAnsi="仿宋" w:eastAsia="仿宋" w:cs="仿宋"/>
          <w:color w:val="555555"/>
          <w:sz w:val="32"/>
          <w:szCs w:val="32"/>
        </w:rPr>
        <w:t>个市县财政违规实拨部门财政资金；</w:t>
      </w:r>
      <w:r>
        <w:rPr>
          <w:rFonts w:hint="eastAsia" w:ascii="仿宋" w:hAnsi="仿宋" w:eastAsia="仿宋" w:cs="仿宋"/>
          <w:color w:val="555555"/>
          <w:sz w:val="32"/>
          <w:szCs w:val="32"/>
          <w:lang w:val="en-US"/>
        </w:rPr>
        <w:t>26</w:t>
      </w:r>
      <w:r>
        <w:rPr>
          <w:rFonts w:hint="eastAsia" w:ascii="仿宋" w:hAnsi="仿宋" w:eastAsia="仿宋" w:cs="仿宋"/>
          <w:color w:val="555555"/>
          <w:sz w:val="32"/>
          <w:szCs w:val="32"/>
        </w:rPr>
        <w:t>个省级部门和</w:t>
      </w:r>
      <w:r>
        <w:rPr>
          <w:rFonts w:hint="eastAsia" w:ascii="仿宋" w:hAnsi="仿宋" w:eastAsia="仿宋" w:cs="仿宋"/>
          <w:color w:val="555555"/>
          <w:sz w:val="32"/>
          <w:szCs w:val="32"/>
          <w:lang w:val="en-US"/>
        </w:rPr>
        <w:t>14</w:t>
      </w:r>
      <w:r>
        <w:rPr>
          <w:rFonts w:hint="eastAsia" w:ascii="仿宋" w:hAnsi="仿宋" w:eastAsia="仿宋" w:cs="仿宋"/>
          <w:color w:val="555555"/>
          <w:sz w:val="32"/>
          <w:szCs w:val="32"/>
        </w:rPr>
        <w:t>个市县将应采取财政直接支付的专项资金转变为财政授权支付；</w:t>
      </w:r>
      <w:r>
        <w:rPr>
          <w:rFonts w:hint="eastAsia" w:ascii="仿宋" w:hAnsi="仿宋" w:eastAsia="仿宋" w:cs="仿宋"/>
          <w:color w:val="555555"/>
          <w:sz w:val="32"/>
          <w:szCs w:val="32"/>
          <w:lang w:val="en-US"/>
        </w:rPr>
        <w:t>3</w:t>
      </w:r>
      <w:r>
        <w:rPr>
          <w:rFonts w:hint="eastAsia" w:ascii="仿宋" w:hAnsi="仿宋" w:eastAsia="仿宋" w:cs="仿宋"/>
          <w:color w:val="555555"/>
          <w:sz w:val="32"/>
          <w:szCs w:val="32"/>
        </w:rPr>
        <w:t>个省级部门所属</w:t>
      </w:r>
      <w:r>
        <w:rPr>
          <w:rFonts w:hint="eastAsia" w:ascii="仿宋" w:hAnsi="仿宋" w:eastAsia="仿宋" w:cs="仿宋"/>
          <w:color w:val="555555"/>
          <w:sz w:val="32"/>
          <w:szCs w:val="32"/>
          <w:lang w:val="en-US"/>
        </w:rPr>
        <w:t>12</w:t>
      </w:r>
      <w:r>
        <w:rPr>
          <w:rFonts w:hint="eastAsia" w:ascii="仿宋" w:hAnsi="仿宋" w:eastAsia="仿宋" w:cs="仿宋"/>
          <w:color w:val="555555"/>
          <w:sz w:val="32"/>
          <w:szCs w:val="32"/>
        </w:rPr>
        <w:t>家单位未严格执行公务卡制度。二是财政资金违规转入实有资金账户。涉及</w:t>
      </w:r>
      <w:r>
        <w:rPr>
          <w:rFonts w:hint="eastAsia" w:ascii="仿宋" w:hAnsi="仿宋" w:eastAsia="仿宋" w:cs="仿宋"/>
          <w:color w:val="555555"/>
          <w:sz w:val="32"/>
          <w:szCs w:val="32"/>
          <w:lang w:val="en-US"/>
        </w:rPr>
        <w:t>18</w:t>
      </w:r>
      <w:r>
        <w:rPr>
          <w:rFonts w:hint="eastAsia" w:ascii="仿宋" w:hAnsi="仿宋" w:eastAsia="仿宋" w:cs="仿宋"/>
          <w:color w:val="555555"/>
          <w:sz w:val="32"/>
          <w:szCs w:val="32"/>
        </w:rPr>
        <w:t>个省级部门和</w:t>
      </w:r>
      <w:r>
        <w:rPr>
          <w:rFonts w:hint="eastAsia" w:ascii="仿宋" w:hAnsi="仿宋" w:eastAsia="仿宋" w:cs="仿宋"/>
          <w:color w:val="555555"/>
          <w:sz w:val="32"/>
          <w:szCs w:val="32"/>
          <w:lang w:val="en-US"/>
        </w:rPr>
        <w:t>18</w:t>
      </w:r>
      <w:r>
        <w:rPr>
          <w:rFonts w:hint="eastAsia" w:ascii="仿宋" w:hAnsi="仿宋" w:eastAsia="仿宋" w:cs="仿宋"/>
          <w:color w:val="555555"/>
          <w:sz w:val="32"/>
          <w:szCs w:val="32"/>
        </w:rPr>
        <w:t>个市县，其中</w:t>
      </w:r>
      <w:r>
        <w:rPr>
          <w:rFonts w:hint="eastAsia" w:ascii="仿宋" w:hAnsi="仿宋" w:eastAsia="仿宋" w:cs="仿宋"/>
          <w:color w:val="555555"/>
          <w:sz w:val="32"/>
          <w:szCs w:val="32"/>
          <w:lang w:val="en-US"/>
        </w:rPr>
        <w:t>16</w:t>
      </w:r>
      <w:r>
        <w:rPr>
          <w:rFonts w:hint="eastAsia" w:ascii="仿宋" w:hAnsi="仿宋" w:eastAsia="仿宋" w:cs="仿宋"/>
          <w:color w:val="555555"/>
          <w:sz w:val="32"/>
          <w:szCs w:val="32"/>
        </w:rPr>
        <w:t>个省级部门将财政资金直接转入使用单位的实有资金账户。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（五）决算草案编制不够完整准确。一是部分市县财政收支不合规。</w:t>
      </w:r>
      <w:r>
        <w:rPr>
          <w:rFonts w:hint="eastAsia" w:ascii="仿宋" w:hAnsi="仿宋" w:eastAsia="仿宋" w:cs="仿宋"/>
          <w:color w:val="555555"/>
          <w:sz w:val="32"/>
          <w:szCs w:val="32"/>
          <w:lang w:val="en-US"/>
        </w:rPr>
        <w:t>4</w:t>
      </w:r>
      <w:r>
        <w:rPr>
          <w:rFonts w:hint="eastAsia" w:ascii="仿宋" w:hAnsi="仿宋" w:eastAsia="仿宋" w:cs="仿宋"/>
          <w:color w:val="555555"/>
          <w:sz w:val="32"/>
          <w:szCs w:val="32"/>
        </w:rPr>
        <w:t>个市县存在虚增、虚减财政支出问题，</w:t>
      </w:r>
      <w:r>
        <w:rPr>
          <w:rFonts w:hint="eastAsia" w:ascii="仿宋" w:hAnsi="仿宋" w:eastAsia="仿宋" w:cs="仿宋"/>
          <w:color w:val="555555"/>
          <w:sz w:val="32"/>
          <w:szCs w:val="32"/>
          <w:lang w:val="en-US"/>
        </w:rPr>
        <w:t>10</w:t>
      </w:r>
      <w:r>
        <w:rPr>
          <w:rFonts w:hint="eastAsia" w:ascii="仿宋" w:hAnsi="仿宋" w:eastAsia="仿宋" w:cs="仿宋"/>
          <w:color w:val="555555"/>
          <w:sz w:val="32"/>
          <w:szCs w:val="32"/>
        </w:rPr>
        <w:t>个县存在无预算、超预算列支问题；</w:t>
      </w:r>
      <w:r>
        <w:rPr>
          <w:rFonts w:hint="eastAsia" w:ascii="仿宋" w:hAnsi="仿宋" w:eastAsia="仿宋" w:cs="仿宋"/>
          <w:color w:val="555555"/>
          <w:sz w:val="32"/>
          <w:szCs w:val="32"/>
          <w:lang w:val="en-US"/>
        </w:rPr>
        <w:t>23</w:t>
      </w:r>
      <w:r>
        <w:rPr>
          <w:rFonts w:hint="eastAsia" w:ascii="仿宋" w:hAnsi="仿宋" w:eastAsia="仿宋" w:cs="仿宋"/>
          <w:color w:val="555555"/>
          <w:sz w:val="32"/>
          <w:szCs w:val="32"/>
        </w:rPr>
        <w:t>个市县存在财政收入未及时入库问题。二是有的预算支出级次调整不规范。存在未经批准调整预算级次以及先调整下达后补办手续问题。三是部分往来款项未及时清理。涉及</w:t>
      </w:r>
      <w:r>
        <w:rPr>
          <w:rFonts w:hint="eastAsia" w:ascii="仿宋" w:hAnsi="仿宋" w:eastAsia="仿宋" w:cs="仿宋"/>
          <w:color w:val="555555"/>
          <w:sz w:val="32"/>
          <w:szCs w:val="32"/>
          <w:lang w:val="en-US"/>
        </w:rPr>
        <w:t>1</w:t>
      </w:r>
      <w:r>
        <w:rPr>
          <w:rFonts w:hint="eastAsia" w:ascii="仿宋" w:hAnsi="仿宋" w:eastAsia="仿宋" w:cs="仿宋"/>
          <w:color w:val="555555"/>
          <w:sz w:val="32"/>
          <w:szCs w:val="32"/>
        </w:rPr>
        <w:t>个省级部门和</w:t>
      </w:r>
      <w:r>
        <w:rPr>
          <w:rFonts w:hint="eastAsia" w:ascii="仿宋" w:hAnsi="仿宋" w:eastAsia="仿宋" w:cs="仿宋"/>
          <w:color w:val="555555"/>
          <w:sz w:val="32"/>
          <w:szCs w:val="32"/>
          <w:lang w:val="en-US"/>
        </w:rPr>
        <w:t>14</w:t>
      </w:r>
      <w:r>
        <w:rPr>
          <w:rFonts w:hint="eastAsia" w:ascii="仿宋" w:hAnsi="仿宋" w:eastAsia="仿宋" w:cs="仿宋"/>
          <w:color w:val="555555"/>
          <w:sz w:val="32"/>
          <w:szCs w:val="32"/>
        </w:rPr>
        <w:t>个市县。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二、省级部门预算执行审计情况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今年重点审计</w:t>
      </w:r>
      <w:r>
        <w:rPr>
          <w:rFonts w:hint="eastAsia" w:ascii="仿宋" w:hAnsi="仿宋" w:eastAsia="仿宋" w:cs="仿宋"/>
          <w:color w:val="555555"/>
          <w:sz w:val="32"/>
          <w:szCs w:val="32"/>
          <w:lang w:val="en-US"/>
        </w:rPr>
        <w:t>12</w:t>
      </w:r>
      <w:r>
        <w:rPr>
          <w:rFonts w:hint="eastAsia" w:ascii="仿宋" w:hAnsi="仿宋" w:eastAsia="仿宋" w:cs="仿宋"/>
          <w:color w:val="555555"/>
          <w:sz w:val="32"/>
          <w:szCs w:val="32"/>
        </w:rPr>
        <w:t>个省直部门预算执行情况，并对创新、协调、绿色、开放、共享发展方面的</w:t>
      </w:r>
      <w:r>
        <w:rPr>
          <w:rFonts w:hint="eastAsia" w:ascii="仿宋" w:hAnsi="仿宋" w:eastAsia="仿宋" w:cs="仿宋"/>
          <w:color w:val="555555"/>
          <w:sz w:val="32"/>
          <w:szCs w:val="32"/>
          <w:lang w:val="en-US"/>
        </w:rPr>
        <w:t>50</w:t>
      </w:r>
      <w:r>
        <w:rPr>
          <w:rFonts w:hint="eastAsia" w:ascii="仿宋" w:hAnsi="仿宋" w:eastAsia="仿宋" w:cs="仿宋"/>
          <w:color w:val="555555"/>
          <w:sz w:val="32"/>
          <w:szCs w:val="32"/>
        </w:rPr>
        <w:t>项专项资金开展重点抽查，延伸</w:t>
      </w:r>
      <w:r>
        <w:rPr>
          <w:rFonts w:hint="eastAsia" w:ascii="仿宋" w:hAnsi="仿宋" w:eastAsia="仿宋" w:cs="仿宋"/>
          <w:color w:val="555555"/>
          <w:sz w:val="32"/>
          <w:szCs w:val="32"/>
          <w:lang w:val="en-US"/>
        </w:rPr>
        <w:t>65</w:t>
      </w:r>
      <w:r>
        <w:rPr>
          <w:rFonts w:hint="eastAsia" w:ascii="仿宋" w:hAnsi="仿宋" w:eastAsia="仿宋" w:cs="仿宋"/>
          <w:color w:val="555555"/>
          <w:sz w:val="32"/>
          <w:szCs w:val="32"/>
        </w:rPr>
        <w:t>个市县。审计结果表明，预算执行情况总体较好，但也存在资金使用未达到政策目标、资金配置碎片化、资金使用效益低下、项目建设进度滞后、项目管理不科学以及预算编制质量不高、盘活存量资金形成二次沉淀等问题。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三、重大政策措施落实跟踪审计情况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w:t>
      </w:r>
      <w:r>
        <w:rPr>
          <w:rFonts w:hint="eastAsia" w:ascii="仿宋" w:hAnsi="仿宋" w:eastAsia="仿宋" w:cs="仿宋"/>
          <w:color w:val="555555"/>
          <w:sz w:val="32"/>
          <w:szCs w:val="32"/>
          <w:lang w:val="en-US"/>
        </w:rPr>
        <w:t>2018</w:t>
      </w:r>
      <w:r>
        <w:rPr>
          <w:rFonts w:hint="eastAsia" w:ascii="仿宋" w:hAnsi="仿宋" w:eastAsia="仿宋" w:cs="仿宋"/>
          <w:color w:val="555555"/>
          <w:sz w:val="32"/>
          <w:szCs w:val="32"/>
        </w:rPr>
        <w:t>年以来，审计重点关注减税降费、养老事业发展、扶贫和乡村振兴、保障性安居工程、自然资源资产和生态保护、重点项目推进等国家和省重大政策措施落实情况。审计结果表明，落实情况总体较好，但也存在以下问题：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在减税降费政策措施落实方面，主要存在部分省定行政事业性收费项目未及时清理、收费不合理以及个别减税政策有待进一步落地等问题。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在养老事业发展政策措施落实方面，主要存在居家社区养老服务阶段性目标任务未完成、养老机构健康发展多元化有待加快、医养结合护理型养老工作推进慢、财政资金保障不够到位等问题。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在精准脱贫方面，主要存在资金审核把关不严、精准施策不够到位、资金管理使用不规范等问题。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在乡村振兴政策措施落实方面，主要存在项目推进缓慢、违规使用资金、不符合条件对象享受惠农补贴、重复发放惠农补贴、涉农项目绩效不佳等问题。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在保障性安居工程资金投入和使用绩效方面，主要存在住房分配运营等管理不到位、落实安居工程金融支持及税费减免等政策不到位以及部分已开工项目超过</w:t>
      </w:r>
      <w:r>
        <w:rPr>
          <w:rFonts w:hint="eastAsia" w:ascii="仿宋" w:hAnsi="仿宋" w:eastAsia="仿宋" w:cs="仿宋"/>
          <w:color w:val="555555"/>
          <w:sz w:val="32"/>
          <w:szCs w:val="32"/>
          <w:lang w:val="en-US"/>
        </w:rPr>
        <w:t>3</w:t>
      </w:r>
      <w:r>
        <w:rPr>
          <w:rFonts w:hint="eastAsia" w:ascii="仿宋" w:hAnsi="仿宋" w:eastAsia="仿宋" w:cs="仿宋"/>
          <w:color w:val="555555"/>
          <w:sz w:val="32"/>
          <w:szCs w:val="32"/>
        </w:rPr>
        <w:t>年仍未建成、专项资金闲置等问题。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在自然资源资产管理和生态环境保护方面，主要存在有的政策法规落实不到位、相关配套制度不健全、部分资源开发利用不合规、部门监管责任未履行到位以及有的生态环保建设项目进展缓慢等问题。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在省重点项目推进方面，主要存在部分项目未完成年度计划投资额、完成投资额填报不准确以及有的项目应开工未开工等问题。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审计指出问题后，相关地方、部门和单位积极做好整改，有些问题已得到整改落实。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四、审计建议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一）切实放大政策落地效应。进一步加强重大政策措施落实情况的跟踪督促，总结推广创新举措，研究完善配套措施，增强可操作性，抓好政策落实的“最先一公里”，打通政策落实的“最后一公里”，确保党中央重大政策措施在我省落地见效，用好用足中央优惠政策，切实发挥政策叠加效应。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二）努力营造良好营商环境。落实好各项减税降费政策，进一步提升政策落地的及时性、便利度和精准度，完善配套的管征措施，让企业应享尽享，同时进一步清理行政事业性收费，规范经营服务性收费行为，实质性降低企业负担，激发微观主体活力，推动企业加大研发投入和科技成果转化，营造有利于创新创业创造的良好发展环境。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三）加快落实民生政策和资金。坚持精准施策，加强扶贫资金安全绩效管理，建立健全促进稳定脱贫和防止返贫长效机制，提高脱贫质量。持续抓好自然资源资产管理和生态环境保护工作，把改善环境质量与推动绿色发展更好结合起来，扎实推进国家生态文明试验区改革任务新突破。加快保障性安居工程建设，加强住房分配、运营管理，防止建成后空置，健全保障退出机制，切实发挥保障房改善城市低收入居民居住条件的作用。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四）不断深化财政制度改革。加快推进分领域财政事权和支出责任划分改革，及时出台符合我省及市县实际的改革实施方案，明确划分省与市县的支出责任界限，向财力困难基层倾斜，降低市县财政压力。加快对下转移支付下达，提高一般性转移支付占比，增强市县统筹使用财政资金能力。创新专项资金管理方式，切实解决当前基层资金沉淀多问题，发挥财政政策导向和财政资金撬动作用。 </w:t>
      </w:r>
    </w:p>
    <w:p>
      <w:pPr>
        <w:pStyle w:val="2"/>
        <w:keepNext w:val="0"/>
        <w:keepLines w:val="0"/>
        <w:pageBreakBefore w:val="0"/>
        <w:widowControl/>
        <w:suppressLineNumbers w:val="0"/>
        <w:kinsoku/>
        <w:wordWrap/>
        <w:overflowPunct/>
        <w:topLinePunct w:val="0"/>
        <w:autoSpaceDE/>
        <w:autoSpaceDN/>
        <w:bidi w:val="0"/>
        <w:adjustRightInd/>
        <w:snapToGrid/>
        <w:spacing w:before="526" w:beforeAutospacing="0" w:after="526" w:afterAutospacing="0"/>
        <w:ind w:left="0" w:leftChars="0" w:right="0" w:firstLine="0" w:firstLineChars="0"/>
        <w:textAlignment w:val="auto"/>
        <w:outlineLvl w:val="9"/>
        <w:rPr>
          <w:rFonts w:hint="eastAsia" w:ascii="仿宋" w:hAnsi="仿宋" w:eastAsia="仿宋" w:cs="仿宋"/>
          <w:sz w:val="32"/>
          <w:szCs w:val="32"/>
        </w:rPr>
      </w:pPr>
      <w:r>
        <w:rPr>
          <w:rFonts w:hint="eastAsia" w:ascii="仿宋" w:hAnsi="仿宋" w:eastAsia="仿宋" w:cs="仿宋"/>
          <w:color w:val="555555"/>
          <w:sz w:val="32"/>
          <w:szCs w:val="32"/>
        </w:rPr>
        <w:t>　　（五）持续提升财政管理效能。进一步增强预算绩效理念，切实改变重投入轻管理、重支出轻绩效现象，改进绩效评价管理方法，发挥绩效激励约束作用，完善绩效评价结果与预算安排和政策调整的挂钩机制。理顺财政部门和各预算部门的权责关系，强化部门支出责任，加强预算编制与审核、项目库建设等重点环节的衔接协调，加强国库集中支付管理，提高制度执行力。 </w:t>
      </w:r>
    </w:p>
    <w:p>
      <w:pPr>
        <w:keepNext w:val="0"/>
        <w:keepLines w:val="0"/>
        <w:pageBreakBefore w:val="0"/>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F431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555555"/>
      <w:u w:val="none"/>
    </w:rPr>
  </w:style>
  <w:style w:type="character" w:styleId="5">
    <w:name w:val="Hyperlink"/>
    <w:basedOn w:val="3"/>
    <w:uiPriority w:val="0"/>
    <w:rPr>
      <w:color w:val="555555"/>
      <w:u w:val="none"/>
    </w:rPr>
  </w:style>
  <w:style w:type="character" w:customStyle="1" w:styleId="7">
    <w:name w:val="pagebox_pre_nolink"/>
    <w:basedOn w:val="3"/>
    <w:uiPriority w:val="0"/>
    <w:rPr>
      <w:color w:val="999999"/>
      <w:bdr w:val="single" w:color="DDDDDD" w:sz="6" w:space="0"/>
    </w:rPr>
  </w:style>
  <w:style w:type="character" w:customStyle="1" w:styleId="8">
    <w:name w:val="pagebox_num_ellipsis"/>
    <w:basedOn w:val="3"/>
    <w:uiPriority w:val="0"/>
    <w:rPr>
      <w:color w:val="393733"/>
    </w:rPr>
  </w:style>
  <w:style w:type="character" w:customStyle="1" w:styleId="9">
    <w:name w:val="pagebox_num_nonce"/>
    <w:basedOn w:val="3"/>
    <w:uiPriority w:val="0"/>
    <w:rPr>
      <w:color w:val="FFFFFF"/>
      <w:bdr w:val="single" w:color="DDDDDD" w:sz="6" w:space="0"/>
      <w:shd w:val="clear" w:fill="FEAB00"/>
    </w:rPr>
  </w:style>
  <w:style w:type="character" w:customStyle="1" w:styleId="10">
    <w:name w:val="pagebox_next_nolink"/>
    <w:basedOn w:val="3"/>
    <w:uiPriority w:val="0"/>
    <w:rPr>
      <w:color w:val="999999"/>
      <w:bdr w:val="single" w:color="DDDDDD" w:sz="6" w:space="0"/>
    </w:rPr>
  </w:style>
  <w:style w:type="character" w:customStyle="1" w:styleId="11">
    <w:name w:val="cover"/>
    <w:basedOn w:val="3"/>
    <w:uiPriority w:val="0"/>
    <w:rPr>
      <w:shd w:val="clear" w:fill="F1900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free</dc:creator>
  <cp:lastModifiedBy>欧立坤</cp:lastModifiedBy>
  <dcterms:modified xsi:type="dcterms:W3CDTF">2019-10-11T01:32:23Z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