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宋体" w:hAnsi="宋体" w:eastAsia="宋体" w:cs="宋体"/>
          <w:b w:val="0"/>
          <w:bCs/>
          <w:sz w:val="44"/>
          <w:szCs w:val="44"/>
          <w:bdr w:val="none" w:color="auto" w:sz="0" w:space="0"/>
        </w:rPr>
      </w:pPr>
      <w:r>
        <w:rPr>
          <w:rFonts w:hint="eastAsia" w:ascii="宋体" w:hAnsi="宋体" w:eastAsia="宋体" w:cs="宋体"/>
          <w:b w:val="0"/>
          <w:bCs/>
          <w:sz w:val="44"/>
          <w:szCs w:val="44"/>
          <w:bdr w:val="none" w:color="auto" w:sz="0" w:space="0"/>
        </w:rPr>
        <w:t>【公告解读】发挥审计“经济体检”作用 服务吉林经济高质量发展--吉林省2019年度省级预算执行和其他财政收支的审计工作报告解读</w:t>
      </w:r>
    </w:p>
    <w:p>
      <w:pPr>
        <w:rPr>
          <w:rFonts w:hint="eastAsia"/>
        </w:rPr>
      </w:pPr>
      <w:bookmarkStart w:id="0" w:name="_GoBack"/>
      <w:bookmarkEnd w:id="0"/>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7月28日，受省政府委托，省审计厅厅长赵振民向省第十三届人大常委会第二十三次会议作了《吉林省人民政府关于2019年度省级预算执行和其他财政收支的审计工作报告》（以下简称审计工作报告）。一年来，省审计厅坚持以习近平新时代中国特色社会主义思想为指导，深入贯彻习近平总书记关于审计工作的重要讲话批示精神，认真落实省委省政府的部署要求，紧扣全面建成小康社会目标任务，以服务吉林全面振兴全方位振兴为主题主线，依法全面履行审计监督职责，努力发挥审计“经济体检”作用，为吉林经济社会高质量发展作出积极贡献。今年的审计工作报告主要有以下几个特点：</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一、着力促进财政资金提质增效</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围绕推动积极的财政政策更加积极有为，对省级财政管理和决算草案编制情况进行了审计，重点审计了压减一般性支出、政府过“紧日子”和重点专项资金使用情况，采取数据筛查与财务资料核实相结合的方式，对省级102个部门和995个所属单位2019年末结存资金情况进行“穿透审计”。反映了年初预算不细化、未编列到项目支出，部分中央和省级专项资金未及时下达，部分涉农资金管理较为分散，省预算内基本建设资金支持方向较为宽泛，盘活财政存量资金不到位等问题，并从预算管理改革不到位、预算编制不科学、支出标准不健全等方面分析原因，提出了加强和改进预算管理，健全完善基本支出定额标准体系、提高部门预算编制科学化精细化水平，深化预算绩效管理改革、优化绩效目标管理，加大存量资金清理盘活力度，提高资源配置效率和资金使用效益等审计建议，促进积极财政政策全面落实。</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二、着力深化部门预算执行审计全覆盖</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坚持探索形成常态化“经济体检”机制，今年继续利用大数据审计技术，对102家省一级预算单位及所属二级单位开展全覆盖数据分析和疑点核查，并对11家省直部门（单位）和8所高校进行了现场审计。揭示了部分单位收入预算和政府采购预算编报不够完整、项目支出预算执行率低、压减一般性支出不到位，高校助学政策落实不到位、收费管理不到位等问题。并从体制机制不完善、预算编制不严格、预算执行缺乏硬约束等方面分析原因，有针对性的提出了加强部门预决算编报管理、严格执行“八项规定”相关要求，牢固树立过“紧日子”思想，强化预算约束，严格预算执行等审计建议，促进规范预算管理。</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三、着力保障疫情防控款物规范高效使用</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新冠肺炎疫情发生后，省审计厅按照省委、省政府和审计署的部署，迅速组织各市县共派出104个审计组、382名审计人员，对疫情防控资金和捐赠款物进行全面审计。审计中，聚焦党中央和省委省政府关于疫情防控相关政策和决策部署的落实情况；聚焦中央和各级财政安排的疫情防控资金拨付和管理使用情况；聚焦社会捐赠款物的分配使用和高效透明，及时发现问题，及时督促整改。通过审计，促进地方政府加快分配下拨资金和物资、及时发放疫情补助，建立健全相关制度，充分发挥审计监督服务和保障作用。</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四、着力推动保障和改善民生</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全省审计机关始终贯彻以人民为中心的发展思想，开展了医疗保险基金、保障性安居工程、惠农补贴“一卡通”、服务业发展专项资金等审计，以增强惠民政策的普惠性、制度的公平性和资金的精准、安全、绩效为目标，以资金管理使用为切入点，检查与资金紧密相关的政策落实、制度执行、项目建设等情况，重点反映了少配套居民医保补助资金，个别地方定点药店套取医保基金；保障性住房建成后空置、向不符合条件家庭发放相关补助；部分县未实行惠农补贴“一卡通”发放、截留挪用各项惠农补贴；省级养老服务业专项资金闲置、“电商镇”“电商村”项目未实施或部分实施等问题。提出了聚焦医疗、住房、社保等民生领域项目和资金管理使用情况，进一步压实管理责任，提高资金使用绩效的审计建议，推动各项民生政策落地见效，惠及于民。</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五、着力持续推进三大攻坚战相关审计</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扶贫资金审计，系统梳理了2016年以来全省审计机关对所有使用扶贫资金市县的审计情况，推动整改问题共1281个，节约或盘活资金42746.36万元，修订或完善制度办法124项，向纪检监察、司法机关等移送问题线索83件。重点反映了此次审计全省10个市和56个县发现的教育扶贫政策和健康扶贫政策落实不到位，部分产业化项目效益不高等问题，推动有关部门和地方在脱贫攻坚剩余任务中抓紧解决，确保如期实现脱贫攻坚目标。污染防治审计，围绕推进生态环保项目建设、不断完善管理制度，重点反映了部分市县环保任务未按时完成、未编制污染防治专项资金实施方案或编制内容不完整等问题，推动各地加大投入、加快项目建设，提高资金使用绩效。防范化解重大风险审计，重点关注了县级财政运行和部分金融机构风险防范化解情况，反映了部分县超支挂账快速增长，政府债务进入偿还高峰，财政运行风险较大，部分金融机构不良贷款余额大、持有的部分资产已形成风险等一些不容忽视的风险隐患情况，及时向省政府报送相关信息，提出积极化解存量债务、努力提高财政保障能力、加强信贷管理、促进完善风险管控措施等审计建议，坚决守住不发生系统性风险的底线。</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六、着力推动就业优先等重大政策落实</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就业优先政策落实审计，按照党中央提出的“坚持就业是民生之本，实施就业优先政策，创造更多就业岗位”的相关要求，紧紧围绕重点群体就业保障、创业促就业等政策落实情况，揭示了未及时发放社保补贴、将不符合条件人员纳入公益性岗位、不符合条件人员获得创业担保贷款等问题，提出了加大财政投入、规范资金管理、持续优化就业创业环境等审计建议。优化营商环境审计，围绕减税降费、深化“放管服”改革等任务落实，重点反映了减免和降低行政事业性收费不到位、中小企业助保金池贷款业务开展不充分等问题，提出了进一步落实降费相关政策、切实降低中小企业和民营企业融资成本、激发市场主体活力等审计建议。乡村振兴审计，围绕有序加快补齐农业农村短板、推动农业绿色发展等各项具体任务的落实，重点反映了粮改饲等任务未实施或未完成、项目建成未投入使用等问题，提出了加强乡村振兴资金投入与项目进展、政策目标实现的统筹考虑，合理调配资金和资源，推动任务和项目尽快完成的审计建议，确保我省乡村振兴战略有序推进，做好与脱贫攻坚工作的有效衔接。</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七、着力做好重大投资项目跟踪审计和国有企业财务收支审计</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政府投资项目审计，围绕省委省政府“项目建设年”工作部署和相关任务目标的落实情况，重点反映了部分续建项目停工、新建项目未开工，项目未按计划推进，项目管理中多结工程款等问题。深入分析影响项目进展的难点和堵点问题，提出各地各部门要加强沟通协调，采取有效措施集中解决堵点问题，加快推进项目建设的审计建议。国有企业财务收支审计，紧紧围绕企业债务和运营中的重大风险隐患情况、相关重大政策贯彻落实情况，重点反映有的企业债务余额高、企业持续运营的资金压力大，部分企业存在少计财务利息等问题，提出了加强财务管理、聚焦主业、提高风险防控意识等审计建议，努力实现国有资产保值增值。</w:t>
      </w:r>
    </w:p>
    <w:p>
      <w:pPr>
        <w:pStyle w:val="3"/>
        <w:keepNext w:val="0"/>
        <w:keepLines w:val="0"/>
        <w:widowControl/>
        <w:suppressLineNumbers w:val="0"/>
        <w:spacing w:line="540" w:lineRule="atLeast"/>
        <w:ind w:left="0" w:firstLine="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下一步，省审计厅将按照省委、省政府部署要求和省人大常委会审议意见，认真督促有关地方、部门和单位落实整改责任，在年底前向省人大常委会报告全面整改情况。</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981C0E"/>
    <w:rsid w:val="69AC2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000000"/>
      <w:u w:val="none"/>
    </w:rPr>
  </w:style>
  <w:style w:type="character" w:styleId="7">
    <w:name w:val="Emphasis"/>
    <w:basedOn w:val="5"/>
    <w:qFormat/>
    <w:uiPriority w:val="0"/>
  </w:style>
  <w:style w:type="character" w:styleId="8">
    <w:name w:val="Hyperlink"/>
    <w:basedOn w:val="5"/>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2020-09-30T02:09:20Z</dcterms:created>
  <dc:creator>Acer</dc:creator>
  <cp:lastModifiedBy>欧立坤</cp:lastModifiedBy>
  <dcterms:modified xsi:type="dcterms:W3CDTF">2020-09-30T02:09:52Z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