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26" w:beforeAutospacing="0" w:after="526" w:afterAutospacing="0"/>
        <w:ind w:left="0" w:right="0"/>
        <w:jc w:val="center"/>
        <w:rPr>
          <w:rFonts w:hint="eastAsia" w:ascii="宋体" w:hAnsi="宋体" w:eastAsia="宋体" w:cs="宋体"/>
          <w:color w:val="auto"/>
          <w:sz w:val="44"/>
          <w:szCs w:val="44"/>
        </w:rPr>
      </w:pPr>
      <w:bookmarkStart w:id="0" w:name="_GoBack"/>
      <w:r>
        <w:rPr>
          <w:rFonts w:hint="eastAsia" w:ascii="宋体" w:hAnsi="宋体" w:eastAsia="宋体" w:cs="宋体"/>
          <w:color w:val="auto"/>
          <w:sz w:val="44"/>
          <w:szCs w:val="44"/>
        </w:rPr>
        <w:t xml:space="preserve">福建省2019年度省级预算执行和其他财政收支情况审计工作报告的解读 </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一年来，全省审计机关以习近平新时代中国特色社会主义思想为指导，深入贯彻落实习近平总书记在参加十三届全国人大二次会议福建代表团审议时的重要讲话和对福建工作的重要指示批示精神，增强“四个意识”、坚定“四个自信”、做到“两个维护”，依法全面履行审计监督职责，有序推进审计全覆盖，扎实做好常态化“经济体检”工作。</w:t>
      </w:r>
      <w:r>
        <w:rPr>
          <w:rFonts w:hint="eastAsia" w:ascii="仿宋_GB2312" w:hAnsi="仿宋_GB2312" w:eastAsia="仿宋_GB2312" w:cs="仿宋_GB2312"/>
          <w:color w:val="555555"/>
          <w:sz w:val="32"/>
          <w:szCs w:val="32"/>
          <w:lang w:val="en-US"/>
        </w:rPr>
        <w:t>7</w:t>
      </w:r>
      <w:r>
        <w:rPr>
          <w:rFonts w:hint="eastAsia" w:ascii="仿宋_GB2312" w:hAnsi="仿宋_GB2312" w:eastAsia="仿宋_GB2312" w:cs="仿宋_GB2312"/>
          <w:color w:val="555555"/>
          <w:sz w:val="32"/>
          <w:szCs w:val="32"/>
        </w:rPr>
        <w:t>月</w:t>
      </w:r>
      <w:r>
        <w:rPr>
          <w:rFonts w:hint="eastAsia" w:ascii="仿宋_GB2312" w:hAnsi="仿宋_GB2312" w:eastAsia="仿宋_GB2312" w:cs="仿宋_GB2312"/>
          <w:color w:val="555555"/>
          <w:sz w:val="32"/>
          <w:szCs w:val="32"/>
          <w:lang w:val="en-US"/>
        </w:rPr>
        <w:t>23</w:t>
      </w:r>
      <w:r>
        <w:rPr>
          <w:rFonts w:hint="eastAsia" w:ascii="仿宋_GB2312" w:hAnsi="仿宋_GB2312" w:eastAsia="仿宋_GB2312" w:cs="仿宋_GB2312"/>
          <w:color w:val="555555"/>
          <w:sz w:val="32"/>
          <w:szCs w:val="32"/>
        </w:rPr>
        <w:t>日，受省政府委托，省审计厅厅长杨红向福建省第十三届人民代表大会常务委员会第二十一次会议作了《关于</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年度省级预算执行和其他财政收支审计工作的报告》（以下简称审计工作报告），集中反映了审计工作情况，主要有以下特点：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一、着力服务治理体系和治理能力现代化。全省审计机关坚持和加强党对审计工作的集中统一领导，切实把党对审计工作的集中统一领导落实到审计工作的全过程各环节。认真贯彻落实省委审计委员会工作部署，围绕省委省政府中心工作，围绕做好“六稳”工作、落实“六保”任务等要求，全方位筑牢审计防护体系，在各类型审计中牢牢抓住制度执行力，在维护制度权威、推动制度执行、促进制度完善、把制度优势更好转化为治理效能上发挥作用。通过深入分析问题背后的体制障碍、机制缺陷、制度漏洞，有针对性地提出审计建议，推动全面深化改革，有效服务我省经济社会高质量发展超越。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二、扎实推进预算执行审计全覆盖。聚焦财政体制改革和财政运行质量，采取大数据审计与现场重点审计、科目贯穿式审计与专题审计相结合的方式，组织开展</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年度全省预算执行和其他财政财务收支情况审计，重点关注预算分配、管理和使用绩效、落实过“紧日子”要求、财政资金引导撬动效益、地方政府专项债券配置效应等内容。省级层面，今年对</w:t>
      </w:r>
      <w:r>
        <w:rPr>
          <w:rFonts w:hint="eastAsia" w:ascii="仿宋_GB2312" w:hAnsi="仿宋_GB2312" w:eastAsia="仿宋_GB2312" w:cs="仿宋_GB2312"/>
          <w:color w:val="555555"/>
          <w:sz w:val="32"/>
          <w:szCs w:val="32"/>
          <w:lang w:val="en-US"/>
        </w:rPr>
        <w:t>284</w:t>
      </w:r>
      <w:r>
        <w:rPr>
          <w:rFonts w:hint="eastAsia" w:ascii="仿宋_GB2312" w:hAnsi="仿宋_GB2312" w:eastAsia="仿宋_GB2312" w:cs="仿宋_GB2312"/>
          <w:color w:val="555555"/>
          <w:sz w:val="32"/>
          <w:szCs w:val="32"/>
        </w:rPr>
        <w:t>家省一级预算单位实现财政财务数据分析全覆盖，现场重点审计了部分地区和</w:t>
      </w:r>
      <w:r>
        <w:rPr>
          <w:rFonts w:hint="eastAsia" w:ascii="仿宋_GB2312" w:hAnsi="仿宋_GB2312" w:eastAsia="仿宋_GB2312" w:cs="仿宋_GB2312"/>
          <w:color w:val="555555"/>
          <w:sz w:val="32"/>
          <w:szCs w:val="32"/>
          <w:lang w:val="en-US"/>
        </w:rPr>
        <w:t>7</w:t>
      </w:r>
      <w:r>
        <w:rPr>
          <w:rFonts w:hint="eastAsia" w:ascii="仿宋_GB2312" w:hAnsi="仿宋_GB2312" w:eastAsia="仿宋_GB2312" w:cs="仿宋_GB2312"/>
          <w:color w:val="555555"/>
          <w:sz w:val="32"/>
          <w:szCs w:val="32"/>
        </w:rPr>
        <w:t>个省直部门单位。审计反映了资金分配固化的格局未有效破解、基层预算管理粗放、部门预算管理有待提升、一般性支出压减力度不够、紧平衡状态下的支出结构和预算安排仍需优化、转移支付资金下达不规范、财政资金引领撬动作用不足、专项债券配置和投向不尽合理等方面问题，并从深化财政改革创新、优化财政资源配置两个方面提出审计建议，促进提高财政精细化管理水平。 </w:t>
      </w:r>
    </w:p>
    <w:p>
      <w:pPr>
        <w:pStyle w:val="3"/>
        <w:keepNext w:val="0"/>
        <w:keepLines w:val="0"/>
        <w:widowControl/>
        <w:suppressLineNumbers w:val="0"/>
        <w:spacing w:before="526" w:beforeAutospacing="0" w:after="526"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三、促进有效保障和改善民生。全省审计机关坚持以人民为中心的发展思想，不断加大民生审计力度。重点安排了促进就业创业、保障性安居工程、医保基金等与人民群众切身利益密切相关的重点民生资金和民生项目的审计，着重反映了相关政策落实还不够到位、就业专项资金与工作任务对接还不够精准、部分棚改项目超过竣工期限仍未建成、保障性住房和公租房（含廉租房）实际空置未能形成有效供给、部分困难群体未享受医保优惠待遇或未参加基本医疗保险，还存在建档立卡人员未实现“一站式”即时结算、少征或少缴医保费、医保基金账户未足额享受优惠利率等问题。通过审计，进一步提高人民群众的获得感、幸福感和安全感。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四、助力打赢三大攻坚战。近年来，全省审计机关持续关注我省三大攻坚战推进情况，持续加强对扶贫、污染防治和防范化解重大风险方面的审计监督。扶贫审计方面，至</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年底，我省现行标准下农村建档立卡贫困人口全部脱贫，</w:t>
      </w:r>
      <w:r>
        <w:rPr>
          <w:rFonts w:hint="eastAsia" w:ascii="仿宋_GB2312" w:hAnsi="仿宋_GB2312" w:eastAsia="仿宋_GB2312" w:cs="仿宋_GB2312"/>
          <w:color w:val="555555"/>
          <w:sz w:val="32"/>
          <w:szCs w:val="32"/>
          <w:lang w:val="en-US"/>
        </w:rPr>
        <w:t>2201</w:t>
      </w:r>
      <w:r>
        <w:rPr>
          <w:rFonts w:hint="eastAsia" w:ascii="仿宋_GB2312" w:hAnsi="仿宋_GB2312" w:eastAsia="仿宋_GB2312" w:cs="仿宋_GB2312"/>
          <w:color w:val="555555"/>
          <w:sz w:val="32"/>
          <w:szCs w:val="32"/>
        </w:rPr>
        <w:t>个建档立卡贫困村全部脱贫摘帽，脱贫攻坚取得决定性成就，对个别存在的学前教育基础和资源薄弱、普惠率低等问题，有关地方和部门将在脱贫攻坚剩余任务推进中加快解决；污染防治审计方面，揭示了部分生态环保目标责任考核指标落实不够到位，废气废水超量排放、部分城市黑臭水体污染防治未得到有效解决，生态环保项目效应和资金使用效益还有待提升等问题；防范化解重大风险审计方面，指出了政府专项债券建设项目、融资担保机构、村镇银行存在的薄弱环节和风险隐患。通过审计，助力高质量打赢三大攻坚战。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五、持续推动重大政策措施落地见效。全省审计机关始终将党中央重大政策措施落实情况跟踪审计作为审计机关重要政治责任，在审计项目计划安排、审计报告报送机制上建立完整的工作链条，全省联动实施。重点对乡村振兴相关政策、自然资源资产管理政策、支持实体经济发展等相关政策落实情况开展了审计，及时揭示和反映了部分优惠政策未完全落实、目标任务推进缓慢、项目建设进度滞后、资金滞留闲置等影响政策效果发挥的问题，提出统筹做好脱贫攻坚与乡村振兴战略有效衔接、落实落细减税降费等政策措施、大力支持科技创新等方面建议，努力打通政策落实“最后一公里”。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六、有序助推疫情防控工作规范高效开展。全省审计机关共派出</w:t>
      </w:r>
      <w:r>
        <w:rPr>
          <w:rFonts w:hint="eastAsia" w:ascii="仿宋_GB2312" w:hAnsi="仿宋_GB2312" w:eastAsia="仿宋_GB2312" w:cs="仿宋_GB2312"/>
          <w:color w:val="555555"/>
          <w:sz w:val="32"/>
          <w:szCs w:val="32"/>
          <w:lang w:val="en-US"/>
        </w:rPr>
        <w:t>220</w:t>
      </w:r>
      <w:r>
        <w:rPr>
          <w:rFonts w:hint="eastAsia" w:ascii="仿宋_GB2312" w:hAnsi="仿宋_GB2312" w:eastAsia="仿宋_GB2312" w:cs="仿宋_GB2312"/>
          <w:color w:val="555555"/>
          <w:sz w:val="32"/>
          <w:szCs w:val="32"/>
        </w:rPr>
        <w:t>个审计组对疫情防控专项资金以及社会捐赠款物分配拨付、管理使用等情况开展了专项审计。全省重点审计了</w:t>
      </w:r>
      <w:r>
        <w:rPr>
          <w:rFonts w:hint="eastAsia" w:ascii="仿宋_GB2312" w:hAnsi="仿宋_GB2312" w:eastAsia="仿宋_GB2312" w:cs="仿宋_GB2312"/>
          <w:color w:val="555555"/>
          <w:sz w:val="32"/>
          <w:szCs w:val="32"/>
          <w:lang w:val="en-US"/>
        </w:rPr>
        <w:t>45.15</w:t>
      </w:r>
      <w:r>
        <w:rPr>
          <w:rFonts w:hint="eastAsia" w:ascii="仿宋_GB2312" w:hAnsi="仿宋_GB2312" w:eastAsia="仿宋_GB2312" w:cs="仿宋_GB2312"/>
          <w:color w:val="555555"/>
          <w:sz w:val="32"/>
          <w:szCs w:val="32"/>
        </w:rPr>
        <w:t>亿元财政资金、</w:t>
      </w:r>
      <w:r>
        <w:rPr>
          <w:rFonts w:hint="eastAsia" w:ascii="仿宋_GB2312" w:hAnsi="仿宋_GB2312" w:eastAsia="仿宋_GB2312" w:cs="仿宋_GB2312"/>
          <w:color w:val="555555"/>
          <w:sz w:val="32"/>
          <w:szCs w:val="32"/>
          <w:lang w:val="en-US"/>
        </w:rPr>
        <w:t>7.66</w:t>
      </w:r>
      <w:r>
        <w:rPr>
          <w:rFonts w:hint="eastAsia" w:ascii="仿宋_GB2312" w:hAnsi="仿宋_GB2312" w:eastAsia="仿宋_GB2312" w:cs="仿宋_GB2312"/>
          <w:color w:val="555555"/>
          <w:sz w:val="32"/>
          <w:szCs w:val="32"/>
        </w:rPr>
        <w:t>亿元捐赠资金，延伸审计了</w:t>
      </w:r>
      <w:r>
        <w:rPr>
          <w:rFonts w:hint="eastAsia" w:ascii="仿宋_GB2312" w:hAnsi="仿宋_GB2312" w:eastAsia="仿宋_GB2312" w:cs="仿宋_GB2312"/>
          <w:color w:val="555555"/>
          <w:sz w:val="32"/>
          <w:szCs w:val="32"/>
          <w:lang w:val="en-US"/>
        </w:rPr>
        <w:t>172</w:t>
      </w:r>
      <w:r>
        <w:rPr>
          <w:rFonts w:hint="eastAsia" w:ascii="仿宋_GB2312" w:hAnsi="仿宋_GB2312" w:eastAsia="仿宋_GB2312" w:cs="仿宋_GB2312"/>
          <w:color w:val="555555"/>
          <w:sz w:val="32"/>
          <w:szCs w:val="32"/>
        </w:rPr>
        <w:t>家有公募资格的红十字会、慈善组织，</w:t>
      </w:r>
      <w:r>
        <w:rPr>
          <w:rFonts w:hint="eastAsia" w:ascii="仿宋_GB2312" w:hAnsi="仿宋_GB2312" w:eastAsia="仿宋_GB2312" w:cs="仿宋_GB2312"/>
          <w:color w:val="555555"/>
          <w:sz w:val="32"/>
          <w:szCs w:val="32"/>
          <w:lang w:val="en-US"/>
        </w:rPr>
        <w:t>76</w:t>
      </w:r>
      <w:r>
        <w:rPr>
          <w:rFonts w:hint="eastAsia" w:ascii="仿宋_GB2312" w:hAnsi="仿宋_GB2312" w:eastAsia="仿宋_GB2312" w:cs="仿宋_GB2312"/>
          <w:color w:val="555555"/>
          <w:sz w:val="32"/>
          <w:szCs w:val="32"/>
        </w:rPr>
        <w:t>家企业，</w:t>
      </w:r>
      <w:r>
        <w:rPr>
          <w:rFonts w:hint="eastAsia" w:ascii="仿宋_GB2312" w:hAnsi="仿宋_GB2312" w:eastAsia="仿宋_GB2312" w:cs="仿宋_GB2312"/>
          <w:color w:val="555555"/>
          <w:sz w:val="32"/>
          <w:szCs w:val="32"/>
          <w:lang w:val="en-US"/>
        </w:rPr>
        <w:t>844</w:t>
      </w:r>
      <w:r>
        <w:rPr>
          <w:rFonts w:hint="eastAsia" w:ascii="仿宋_GB2312" w:hAnsi="仿宋_GB2312" w:eastAsia="仿宋_GB2312" w:cs="仿宋_GB2312"/>
          <w:color w:val="555555"/>
          <w:sz w:val="32"/>
          <w:szCs w:val="32"/>
        </w:rPr>
        <w:t>个疾控中心等政府机构和单位。同步组织开展了我省应对疫情“六稳”措施落实情况跟踪审计，重点关注金融服务保障、税费减免、降低企业运营成本、复工复产、增产增效、援企稳岗等政策落实情况。审计服从服务疫情防控大局，坚持边审边改，立行立改，推动有关方面加快拨付发放资金物资，及时制定完善相关物资管理制度和资金使用办法，优化捐赠物资管理流程和规范台账管理。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七、切实强化审计整改落实。根据省十三届人大常委会第十三次会议审议意见，今年审计工作报告在全面揭示问题的基础上，首次对上年度审计工作报告尚未整改到位问题的后续整改情况进行了反映，并进行了原因分析。省审计厅今年对近三年省厅统一组织审计项目整改情况再次组织“回头看”，逐条逐项夯实审计查出问题的整改结果，重点反映被审计单位举一反三带动全面系统整改规范情况、采纳审计建议和制度建设情况。从总体上看，被审计单位认真落实审计整改责任，积极深化审计成果运用，完善制度、规范管理、堵塞漏洞。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555555"/>
          <w:sz w:val="32"/>
          <w:szCs w:val="32"/>
          <w:lang w:val="en-US"/>
        </w:rPr>
        <w:t> </w:t>
      </w:r>
      <w:r>
        <w:rPr>
          <w:rFonts w:hint="eastAsia" w:ascii="仿宋_GB2312" w:hAnsi="仿宋_GB2312" w:eastAsia="仿宋_GB2312" w:cs="仿宋_GB2312"/>
          <w:color w:val="555555"/>
          <w:sz w:val="32"/>
          <w:szCs w:val="32"/>
        </w:rPr>
        <w:t>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下一步，省审计厅将按照省委、省政府有关要求，按照省人大常委会对审计工作报告的审议意见，认真督促整改落实，及时向省人大常委会报告整改结果，并向社会公告。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896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18"/>
      <w:szCs w:val="1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555555"/>
      <w:u w:val="none"/>
    </w:rPr>
  </w:style>
  <w:style w:type="character" w:styleId="7">
    <w:name w:val="Hyperlink"/>
    <w:basedOn w:val="5"/>
    <w:uiPriority w:val="0"/>
    <w:rPr>
      <w:color w:val="555555"/>
      <w:u w:val="none"/>
    </w:rPr>
  </w:style>
  <w:style w:type="character" w:customStyle="1" w:styleId="8">
    <w:name w:val="pagebox_pre_nolink"/>
    <w:basedOn w:val="5"/>
    <w:uiPriority w:val="0"/>
    <w:rPr>
      <w:color w:val="999999"/>
      <w:bdr w:val="single" w:color="DDDDDD" w:sz="6" w:space="0"/>
    </w:rPr>
  </w:style>
  <w:style w:type="character" w:customStyle="1" w:styleId="9">
    <w:name w:val="pagebox_num_ellipsis"/>
    <w:basedOn w:val="5"/>
    <w:uiPriority w:val="0"/>
    <w:rPr>
      <w:color w:val="393733"/>
    </w:rPr>
  </w:style>
  <w:style w:type="character" w:customStyle="1" w:styleId="10">
    <w:name w:val="pagebox_num_nonce"/>
    <w:basedOn w:val="5"/>
    <w:uiPriority w:val="0"/>
    <w:rPr>
      <w:color w:val="FFFFFF"/>
      <w:bdr w:val="single" w:color="DDDDDD" w:sz="6" w:space="0"/>
      <w:shd w:val="clear" w:fill="FEAB00"/>
    </w:rPr>
  </w:style>
  <w:style w:type="character" w:customStyle="1" w:styleId="11">
    <w:name w:val="pagebox_next_nolink"/>
    <w:basedOn w:val="5"/>
    <w:uiPriority w:val="0"/>
    <w:rPr>
      <w:color w:val="999999"/>
      <w:bdr w:val="single" w:color="DDDDDD" w:sz="6" w:space="0"/>
    </w:rPr>
  </w:style>
  <w:style w:type="character" w:customStyle="1" w:styleId="12">
    <w:name w:val="cover"/>
    <w:basedOn w:val="5"/>
    <w:uiPriority w:val="0"/>
    <w:rPr>
      <w:shd w:val="clear" w:fill="F1900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2020-09-30T01:02:53Z</dcterms:created>
  <dc:creator>Acer</dc:creator>
  <cp:lastModifiedBy>欧立坤</cp:lastModifiedBy>
  <dcterms:modified xsi:type="dcterms:W3CDTF">2020-09-30T01:03:25Z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