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黑体" w:hAnsi="宋体" w:eastAsia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长城小标宋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eastAsia="长城小标宋体"/>
          <w:color w:val="000000"/>
          <w:kern w:val="2"/>
          <w:sz w:val="44"/>
          <w:szCs w:val="44"/>
          <w:lang w:val="en-US" w:eastAsia="zh-CN" w:bidi="ar-SA"/>
        </w:rPr>
        <w:t>审计署20</w:t>
      </w:r>
      <w:r>
        <w:rPr>
          <w:rFonts w:hint="eastAsia" w:eastAsia="长城小标宋体"/>
          <w:color w:val="000000"/>
          <w:kern w:val="2"/>
          <w:sz w:val="44"/>
          <w:szCs w:val="44"/>
          <w:lang w:val="en-US" w:eastAsia="zh-CN" w:bidi="ar-SA"/>
        </w:rPr>
        <w:t>21</w:t>
      </w:r>
      <w:r>
        <w:rPr>
          <w:rFonts w:eastAsia="长城小标宋体"/>
          <w:color w:val="000000"/>
          <w:kern w:val="2"/>
          <w:sz w:val="44"/>
          <w:szCs w:val="44"/>
          <w:lang w:val="en-US" w:eastAsia="zh-CN" w:bidi="ar-SA"/>
        </w:rPr>
        <w:t>至20</w:t>
      </w:r>
      <w:r>
        <w:rPr>
          <w:rFonts w:hint="eastAsia" w:eastAsia="长城小标宋体"/>
          <w:color w:val="000000"/>
          <w:kern w:val="2"/>
          <w:sz w:val="44"/>
          <w:szCs w:val="44"/>
          <w:lang w:val="en-US" w:eastAsia="zh-CN" w:bidi="ar-SA"/>
        </w:rPr>
        <w:t>22</w:t>
      </w:r>
      <w:r>
        <w:rPr>
          <w:rFonts w:eastAsia="长城小标宋体"/>
          <w:color w:val="000000"/>
          <w:kern w:val="2"/>
          <w:sz w:val="44"/>
          <w:szCs w:val="44"/>
          <w:lang w:val="en-US" w:eastAsia="zh-CN" w:bidi="ar-SA"/>
        </w:rPr>
        <w:t>年度重点科研立项课题表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35"/>
        <w:gridCol w:w="3580"/>
        <w:gridCol w:w="108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一、“审计监督的政治属性研究”方向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课题编号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SJ0100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审计监督的政治属性研究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卢荣春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广东省审计厅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SJ0100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落实党对审计工作领导的研究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苏海棠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广西壮族自治区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SJ0100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审计监督的政治属性研究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冯均科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SJ0100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审计监督的政治属性研究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</w:t>
            </w: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扬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SJ0100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审计监督的政治属性研究 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刘旺洪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Ansi="宋体" w:eastAsia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二、“国家审计在构建新发展格局中的作用研究”方向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课题编号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001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国家审计在构建新发展格局中的作用研究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彭华彰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审计署上海特派办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国家审计在构建新发展格局中的作用研究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王彦斌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审计署郑州特派办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国家审计在构建新发展格局中的作用研究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罗春华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国家审计在构建新发展格局中的作用研究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马轶群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南京审计大学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三、“深化预算执行审计研究”方向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课题编号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001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深化预算执行审计研究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马兰霞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北京市审计局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深化预算执行审计研究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郑立伟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重庆市审计局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预算绩效管理视角下深化预算执行审计研究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姚东旻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基于现代财政预算制度视角的预算执行审计深化研究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陈平泽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中国矿业大学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 w:eastAsia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四、“深化党政领导干部经济责任审计研究”方向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课题编号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课题名称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Ansi="宋体" w:eastAsia="宋体"/>
                <w:kern w:val="0"/>
                <w:sz w:val="24"/>
                <w:szCs w:val="24"/>
                <w:lang w:val="en-US" w:eastAsia="zh-CN" w:bidi="ar-SA"/>
              </w:rPr>
              <w:t>负责人所在单位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001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深化党政干部经济责任审计研究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陶志伟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四川省审计厅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002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新时代党政领导干部经济责任审计创新</w:t>
            </w: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陈</w:t>
            </w: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磊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山西省审计厅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深化党政领导干部经济责任审计研究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庄</w:t>
            </w: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军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审计署广州特派办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省级地方党政领导干部经济责任审计项目优化组织管理的作用、思路与实现路径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周应良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审计署昆明特派办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SJ0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eastAsia="宋体"/>
                <w:kern w:val="0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深化党政领导干部经济责任审计研究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朱</w:t>
            </w: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荣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贵州大学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C50B8"/>
    <w:rsid w:val="508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2021-06-15T03:00:00Z</dcterms:created>
  <dc:creator>Administrator</dc:creator>
  <cp:lastModifiedBy>Administrator</cp:lastModifiedBy>
  <dcterms:modified xsi:type="dcterms:W3CDTF">2021-06-15T03:00:29Z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